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69" w:rsidRPr="009C4AFD" w:rsidRDefault="006A3598" w:rsidP="00AE5C69">
      <w:pPr>
        <w:pStyle w:val="berschrift"/>
        <w:rPr>
          <w:lang w:val="de-DE"/>
        </w:rPr>
      </w:pPr>
      <w:r w:rsidRPr="007916D6">
        <w:rPr>
          <w:rFonts w:eastAsia="Arial"/>
          <w:lang w:val="de-DE"/>
        </w:rPr>
        <w:t xml:space="preserve">Hydrologische </w:t>
      </w:r>
      <w:r w:rsidR="00FB266A" w:rsidRPr="007916D6">
        <w:rPr>
          <w:rFonts w:eastAsia="Arial"/>
          <w:lang w:val="de-DE"/>
        </w:rPr>
        <w:t>Auswertung de</w:t>
      </w:r>
      <w:r w:rsidR="00D25F39" w:rsidRPr="007916D6">
        <w:rPr>
          <w:rFonts w:eastAsia="Arial"/>
          <w:lang w:val="de-DE"/>
        </w:rPr>
        <w:t xml:space="preserve">r </w:t>
      </w:r>
      <w:r w:rsidRPr="007916D6">
        <w:rPr>
          <w:rFonts w:eastAsia="Arial"/>
          <w:lang w:val="de-DE"/>
        </w:rPr>
        <w:t>Niedrigwassersituation</w:t>
      </w:r>
      <w:r w:rsidR="007A74D9" w:rsidRPr="007916D6">
        <w:rPr>
          <w:rFonts w:eastAsia="Arial"/>
          <w:lang w:val="de-DE"/>
        </w:rPr>
        <w:t xml:space="preserve"> 2015 </w:t>
      </w:r>
      <w:r w:rsidR="00FB266A" w:rsidRPr="007916D6">
        <w:rPr>
          <w:rFonts w:eastAsia="Arial"/>
          <w:lang w:val="de-DE"/>
        </w:rPr>
        <w:t xml:space="preserve">im Einzugsgebiet der </w:t>
      </w:r>
      <w:commentRangeStart w:id="0"/>
      <w:r w:rsidR="00FB266A" w:rsidRPr="007916D6">
        <w:rPr>
          <w:rFonts w:eastAsia="Arial"/>
          <w:lang w:val="de-DE"/>
        </w:rPr>
        <w:t>El</w:t>
      </w:r>
      <w:r w:rsidR="007A74D9" w:rsidRPr="007916D6">
        <w:rPr>
          <w:rFonts w:eastAsia="Arial"/>
          <w:lang w:val="de-DE"/>
        </w:rPr>
        <w:t>be</w:t>
      </w:r>
      <w:commentRangeEnd w:id="0"/>
      <w:r w:rsidR="005F0790">
        <w:rPr>
          <w:rStyle w:val="Kommentarzeichen"/>
          <w:rFonts w:cs="Times New Roman"/>
          <w:b w:val="0"/>
          <w:bCs w:val="0"/>
        </w:rPr>
        <w:commentReference w:id="0"/>
      </w:r>
      <w:r w:rsidR="007A74D9" w:rsidRPr="007916D6">
        <w:rPr>
          <w:rFonts w:eastAsia="Arial"/>
          <w:lang w:val="de-DE"/>
        </w:rPr>
        <w:br/>
      </w:r>
      <w:r w:rsidR="008010F8" w:rsidRPr="007916D6">
        <w:rPr>
          <w:lang w:val="de-DE"/>
        </w:rPr>
        <w:t>Kapitel 4</w:t>
      </w:r>
      <w:r w:rsidR="00AE5C69" w:rsidRPr="007916D6">
        <w:rPr>
          <w:lang w:val="de-DE"/>
        </w:rPr>
        <w:t xml:space="preserve"> – Einfluss der </w:t>
      </w:r>
      <w:r w:rsidR="001704FE" w:rsidRPr="007916D6">
        <w:rPr>
          <w:lang w:val="de-DE"/>
        </w:rPr>
        <w:t xml:space="preserve">Trockenperiode </w:t>
      </w:r>
      <w:r w:rsidR="00AE5C69" w:rsidRPr="007916D6">
        <w:rPr>
          <w:lang w:val="de-DE"/>
        </w:rPr>
        <w:t>auf das Grundwasser</w:t>
      </w:r>
      <w:r w:rsidR="007A74D9" w:rsidRPr="007916D6">
        <w:rPr>
          <w:lang w:val="de-DE"/>
        </w:rPr>
        <w:br/>
      </w:r>
      <w:r w:rsidR="00AE5C69" w:rsidRPr="009C4AFD">
        <w:rPr>
          <w:b w:val="0"/>
          <w:sz w:val="18"/>
          <w:szCs w:val="18"/>
          <w:lang w:val="de-DE"/>
        </w:rPr>
        <w:t xml:space="preserve">– </w:t>
      </w:r>
      <w:r w:rsidR="008010F8" w:rsidRPr="009C4AFD">
        <w:rPr>
          <w:b w:val="0"/>
          <w:sz w:val="18"/>
          <w:szCs w:val="18"/>
          <w:lang w:val="de-DE"/>
        </w:rPr>
        <w:t>Entwurf der tschechischen Delegation</w:t>
      </w:r>
      <w:r w:rsidR="00AE5C69" w:rsidRPr="009C4AFD">
        <w:rPr>
          <w:b w:val="0"/>
          <w:sz w:val="18"/>
          <w:szCs w:val="18"/>
          <w:lang w:val="de-DE"/>
        </w:rPr>
        <w:t xml:space="preserve"> der EG Hy</w:t>
      </w:r>
      <w:r w:rsidR="008010F8" w:rsidRPr="009C4AFD">
        <w:rPr>
          <w:b w:val="0"/>
          <w:sz w:val="18"/>
          <w:szCs w:val="18"/>
          <w:lang w:val="de-DE"/>
        </w:rPr>
        <w:t xml:space="preserve">, </w:t>
      </w:r>
      <w:r w:rsidR="00FB266A" w:rsidRPr="009C4AFD">
        <w:rPr>
          <w:b w:val="0"/>
          <w:sz w:val="18"/>
          <w:szCs w:val="18"/>
          <w:lang w:val="de-DE"/>
        </w:rPr>
        <w:t>S</w:t>
      </w:r>
      <w:r w:rsidR="007A74D9" w:rsidRPr="009C4AFD">
        <w:rPr>
          <w:b w:val="0"/>
          <w:sz w:val="18"/>
          <w:szCs w:val="18"/>
          <w:lang w:val="de-DE"/>
        </w:rPr>
        <w:t>ta</w:t>
      </w:r>
      <w:r w:rsidR="00FB266A" w:rsidRPr="009C4AFD">
        <w:rPr>
          <w:b w:val="0"/>
          <w:sz w:val="18"/>
          <w:szCs w:val="18"/>
          <w:lang w:val="de-DE"/>
        </w:rPr>
        <w:t>nd</w:t>
      </w:r>
      <w:r w:rsidR="007A74D9" w:rsidRPr="009C4AFD">
        <w:rPr>
          <w:b w:val="0"/>
          <w:sz w:val="18"/>
          <w:szCs w:val="18"/>
          <w:lang w:val="de-DE"/>
        </w:rPr>
        <w:t xml:space="preserve">: </w:t>
      </w:r>
      <w:r w:rsidR="00DB0214" w:rsidRPr="009C4AFD">
        <w:rPr>
          <w:b w:val="0"/>
          <w:sz w:val="18"/>
          <w:szCs w:val="18"/>
          <w:lang w:val="de-DE"/>
        </w:rPr>
        <w:t>20</w:t>
      </w:r>
      <w:r w:rsidR="007A74D9" w:rsidRPr="009C4AFD">
        <w:rPr>
          <w:b w:val="0"/>
          <w:sz w:val="18"/>
          <w:szCs w:val="18"/>
          <w:lang w:val="de-DE"/>
        </w:rPr>
        <w:t>.</w:t>
      </w:r>
      <w:r w:rsidR="008010F8" w:rsidRPr="009C4AFD">
        <w:rPr>
          <w:b w:val="0"/>
          <w:sz w:val="18"/>
          <w:szCs w:val="18"/>
          <w:lang w:val="de-DE"/>
        </w:rPr>
        <w:t>0</w:t>
      </w:r>
      <w:r w:rsidR="00DB0214" w:rsidRPr="009C4AFD">
        <w:rPr>
          <w:b w:val="0"/>
          <w:sz w:val="18"/>
          <w:szCs w:val="18"/>
          <w:lang w:val="de-DE"/>
        </w:rPr>
        <w:t>7</w:t>
      </w:r>
      <w:r w:rsidR="008010F8" w:rsidRPr="009C4AFD">
        <w:rPr>
          <w:b w:val="0"/>
          <w:sz w:val="18"/>
          <w:szCs w:val="18"/>
          <w:lang w:val="de-DE"/>
        </w:rPr>
        <w:t>.2016</w:t>
      </w:r>
      <w:r w:rsidR="00AE5C69" w:rsidRPr="009C4AFD">
        <w:rPr>
          <w:b w:val="0"/>
          <w:sz w:val="18"/>
          <w:szCs w:val="18"/>
          <w:lang w:val="de-DE"/>
        </w:rPr>
        <w:t xml:space="preserve"> –</w:t>
      </w:r>
      <w:r w:rsidR="00AE5C69" w:rsidRPr="009C4AFD">
        <w:rPr>
          <w:b w:val="0"/>
          <w:sz w:val="18"/>
          <w:szCs w:val="18"/>
          <w:lang w:val="de-DE"/>
        </w:rPr>
        <w:br/>
        <w:t xml:space="preserve">– </w:t>
      </w:r>
      <w:r w:rsidR="00DB0214" w:rsidRPr="009C4AFD">
        <w:rPr>
          <w:b w:val="0"/>
          <w:sz w:val="18"/>
          <w:szCs w:val="18"/>
          <w:lang w:val="de-DE"/>
        </w:rPr>
        <w:t xml:space="preserve">mit </w:t>
      </w:r>
      <w:r w:rsidR="00AE5C69" w:rsidRPr="009C4AFD">
        <w:rPr>
          <w:b w:val="0"/>
          <w:sz w:val="18"/>
          <w:szCs w:val="18"/>
          <w:lang w:val="de-DE"/>
        </w:rPr>
        <w:t>Hinweise</w:t>
      </w:r>
      <w:r w:rsidR="00DB0214" w:rsidRPr="009C4AFD">
        <w:rPr>
          <w:b w:val="0"/>
          <w:sz w:val="18"/>
          <w:szCs w:val="18"/>
          <w:lang w:val="de-DE"/>
        </w:rPr>
        <w:t>n</w:t>
      </w:r>
      <w:r w:rsidR="00AE5C69" w:rsidRPr="009C4AFD">
        <w:rPr>
          <w:b w:val="0"/>
          <w:sz w:val="18"/>
          <w:szCs w:val="18"/>
          <w:lang w:val="de-DE"/>
        </w:rPr>
        <w:t xml:space="preserve"> der tschechischen Delegation der Expertengruppe GW</w:t>
      </w:r>
      <w:r w:rsidR="00DB0214" w:rsidRPr="009C4AFD">
        <w:rPr>
          <w:b w:val="0"/>
          <w:sz w:val="18"/>
          <w:szCs w:val="18"/>
          <w:lang w:val="de-DE"/>
        </w:rPr>
        <w:t xml:space="preserve">, Stand: </w:t>
      </w:r>
      <w:r w:rsidR="00AE5C69" w:rsidRPr="009C4AFD">
        <w:rPr>
          <w:b w:val="0"/>
          <w:sz w:val="18"/>
          <w:szCs w:val="18"/>
          <w:lang w:val="de-DE"/>
        </w:rPr>
        <w:t>26.07.2016</w:t>
      </w:r>
      <w:r w:rsidR="009C4AFD" w:rsidRPr="009C4AFD">
        <w:rPr>
          <w:b w:val="0"/>
          <w:sz w:val="18"/>
          <w:szCs w:val="18"/>
          <w:lang w:val="de-DE"/>
        </w:rPr>
        <w:t xml:space="preserve"> </w:t>
      </w:r>
      <w:r w:rsidR="00AE5C69" w:rsidRPr="009C4AFD">
        <w:rPr>
          <w:b w:val="0"/>
          <w:sz w:val="18"/>
          <w:szCs w:val="18"/>
          <w:lang w:val="de-DE"/>
        </w:rPr>
        <w:t>–</w:t>
      </w:r>
      <w:r w:rsidR="009C4AFD" w:rsidRPr="009C4AFD">
        <w:rPr>
          <w:b w:val="0"/>
          <w:sz w:val="18"/>
          <w:szCs w:val="18"/>
          <w:lang w:val="de-DE"/>
        </w:rPr>
        <w:br/>
        <w:t xml:space="preserve">– mit Hinweisen Ergänzungen der deutschen Delegation der Expertengruppe GW, Stand: </w:t>
      </w:r>
      <w:r w:rsidR="008C52DE">
        <w:rPr>
          <w:b w:val="0"/>
          <w:sz w:val="18"/>
          <w:szCs w:val="18"/>
          <w:lang w:val="de-DE"/>
        </w:rPr>
        <w:t>25</w:t>
      </w:r>
      <w:r w:rsidR="009C4AFD" w:rsidRPr="009C4AFD">
        <w:rPr>
          <w:b w:val="0"/>
          <w:sz w:val="18"/>
          <w:szCs w:val="18"/>
          <w:lang w:val="de-DE"/>
        </w:rPr>
        <w:t>.11.2016 –</w:t>
      </w:r>
    </w:p>
    <w:p w:rsidR="007A74D9" w:rsidRPr="007916D6" w:rsidRDefault="007A74D9" w:rsidP="007A74D9">
      <w:pPr>
        <w:rPr>
          <w:sz w:val="2"/>
          <w:szCs w:val="2"/>
          <w:lang w:val="de-DE"/>
        </w:rPr>
      </w:pPr>
    </w:p>
    <w:p w:rsidR="008010F8" w:rsidRPr="007916D6" w:rsidRDefault="008010F8" w:rsidP="008010F8">
      <w:pPr>
        <w:rPr>
          <w:lang w:val="de-DE"/>
        </w:rPr>
      </w:pPr>
    </w:p>
    <w:p w:rsidR="00387C7F" w:rsidRPr="007916D6" w:rsidRDefault="00AE5C69" w:rsidP="008010F8">
      <w:pPr>
        <w:pStyle w:val="berschrift1"/>
      </w:pPr>
      <w:r w:rsidRPr="007916D6">
        <w:t xml:space="preserve">Einfluss der </w:t>
      </w:r>
      <w:r w:rsidR="001704FE" w:rsidRPr="007916D6">
        <w:t>Trockenperiode</w:t>
      </w:r>
      <w:r w:rsidR="00757B47" w:rsidRPr="007916D6">
        <w:t xml:space="preserve"> </w:t>
      </w:r>
      <w:r w:rsidRPr="007916D6">
        <w:t>auf das Grundwasser</w:t>
      </w:r>
    </w:p>
    <w:p w:rsidR="00FA66D2" w:rsidRPr="007916D6" w:rsidRDefault="00FA66D2" w:rsidP="00FA66D2">
      <w:pPr>
        <w:rPr>
          <w:lang w:val="de-DE"/>
        </w:rPr>
      </w:pPr>
      <w:r w:rsidRPr="007916D6">
        <w:rPr>
          <w:lang w:val="de-DE"/>
        </w:rPr>
        <w:t xml:space="preserve">Für die Bewertung des Einflusses der </w:t>
      </w:r>
      <w:r w:rsidR="001704FE" w:rsidRPr="007916D6">
        <w:rPr>
          <w:lang w:val="de-DE"/>
        </w:rPr>
        <w:t>Trockenperiode</w:t>
      </w:r>
      <w:r w:rsidRPr="007916D6">
        <w:rPr>
          <w:lang w:val="de-DE"/>
        </w:rPr>
        <w:t xml:space="preserve"> auf das </w:t>
      </w:r>
      <w:r w:rsidRPr="007916D6">
        <w:rPr>
          <w:b/>
          <w:lang w:val="de-DE"/>
        </w:rPr>
        <w:t>Grundwasser in der Tschech</w:t>
      </w:r>
      <w:r w:rsidRPr="007916D6">
        <w:rPr>
          <w:b/>
          <w:lang w:val="de-DE"/>
        </w:rPr>
        <w:t>i</w:t>
      </w:r>
      <w:r w:rsidRPr="007916D6">
        <w:rPr>
          <w:b/>
          <w:lang w:val="de-DE"/>
        </w:rPr>
        <w:t>schen Republik</w:t>
      </w:r>
      <w:r w:rsidRPr="007916D6">
        <w:rPr>
          <w:lang w:val="de-DE"/>
        </w:rPr>
        <w:t xml:space="preserve"> wurden 2015 die Messstellen des Meldenetzes des Tschechischen Hydrom</w:t>
      </w:r>
      <w:r w:rsidRPr="007916D6">
        <w:rPr>
          <w:lang w:val="de-DE"/>
        </w:rPr>
        <w:t>e</w:t>
      </w:r>
      <w:r w:rsidRPr="007916D6">
        <w:rPr>
          <w:lang w:val="de-DE"/>
        </w:rPr>
        <w:t>teorologischen Instituts (</w:t>
      </w:r>
      <w:r w:rsidRPr="007916D6">
        <w:rPr>
          <w:rFonts w:cs="Arial"/>
          <w:bCs/>
          <w:lang w:val="de-DE"/>
        </w:rPr>
        <w:t xml:space="preserve">ČHMÚ) genutzt. Sie repräsentieren </w:t>
      </w:r>
      <w:r w:rsidR="008D0A54" w:rsidRPr="007916D6">
        <w:rPr>
          <w:rFonts w:cs="Arial"/>
          <w:bCs/>
          <w:lang w:val="de-DE"/>
        </w:rPr>
        <w:t>die unterschiedlichen geograph</w:t>
      </w:r>
      <w:r w:rsidR="008D0A54" w:rsidRPr="007916D6">
        <w:rPr>
          <w:rFonts w:cs="Arial"/>
          <w:bCs/>
          <w:lang w:val="de-DE"/>
        </w:rPr>
        <w:t>i</w:t>
      </w:r>
      <w:r w:rsidR="008D0A54" w:rsidRPr="007916D6">
        <w:rPr>
          <w:rFonts w:cs="Arial"/>
          <w:bCs/>
          <w:lang w:val="de-DE"/>
        </w:rPr>
        <w:t xml:space="preserve">schen und geologischen Bedingungen in der Tschechischen Republik. Die Wasserstände in den Flachbohrungen </w:t>
      </w:r>
      <w:r w:rsidR="00BB6520" w:rsidRPr="007916D6">
        <w:rPr>
          <w:rFonts w:cs="Arial"/>
          <w:bCs/>
          <w:lang w:val="de-DE"/>
        </w:rPr>
        <w:t>spiegeln</w:t>
      </w:r>
      <w:r w:rsidR="008D0A54" w:rsidRPr="007916D6">
        <w:rPr>
          <w:rFonts w:cs="Arial"/>
          <w:bCs/>
          <w:lang w:val="de-DE"/>
        </w:rPr>
        <w:t xml:space="preserve"> d</w:t>
      </w:r>
      <w:r w:rsidR="00846DDA" w:rsidRPr="007916D6">
        <w:rPr>
          <w:rFonts w:cs="Arial"/>
          <w:bCs/>
          <w:lang w:val="de-DE"/>
        </w:rPr>
        <w:t>as</w:t>
      </w:r>
      <w:r w:rsidR="008D0A54" w:rsidRPr="007916D6">
        <w:rPr>
          <w:rFonts w:cs="Arial"/>
          <w:bCs/>
          <w:lang w:val="de-DE"/>
        </w:rPr>
        <w:t xml:space="preserve"> Grundwasser</w:t>
      </w:r>
      <w:r w:rsidR="00846DDA" w:rsidRPr="007916D6">
        <w:rPr>
          <w:rFonts w:cs="Arial"/>
          <w:bCs/>
          <w:lang w:val="de-DE"/>
        </w:rPr>
        <w:t>niveau</w:t>
      </w:r>
      <w:r w:rsidR="008D0A54" w:rsidRPr="007916D6">
        <w:rPr>
          <w:rFonts w:cs="Arial"/>
          <w:bCs/>
          <w:lang w:val="de-DE"/>
        </w:rPr>
        <w:t xml:space="preserve"> in den </w:t>
      </w:r>
      <w:r w:rsidR="002565DD" w:rsidRPr="007916D6">
        <w:rPr>
          <w:rFonts w:cs="Arial"/>
          <w:bCs/>
          <w:lang w:val="de-DE"/>
        </w:rPr>
        <w:t xml:space="preserve">überwiegend quartären </w:t>
      </w:r>
      <w:r w:rsidR="008D0A54" w:rsidRPr="007916D6">
        <w:rPr>
          <w:rFonts w:cs="Arial"/>
          <w:bCs/>
          <w:lang w:val="de-DE"/>
        </w:rPr>
        <w:t>Deck</w:t>
      </w:r>
      <w:r w:rsidR="002565DD" w:rsidRPr="007916D6">
        <w:rPr>
          <w:rFonts w:cs="Arial"/>
          <w:bCs/>
          <w:lang w:val="de-DE"/>
        </w:rPr>
        <w:t>fo</w:t>
      </w:r>
      <w:r w:rsidR="002565DD" w:rsidRPr="007916D6">
        <w:rPr>
          <w:rFonts w:cs="Arial"/>
          <w:bCs/>
          <w:lang w:val="de-DE"/>
        </w:rPr>
        <w:t>r</w:t>
      </w:r>
      <w:r w:rsidR="002565DD" w:rsidRPr="007916D6">
        <w:rPr>
          <w:rFonts w:cs="Arial"/>
          <w:bCs/>
          <w:lang w:val="de-DE"/>
        </w:rPr>
        <w:t>mationen</w:t>
      </w:r>
      <w:r w:rsidR="008D0A54" w:rsidRPr="007916D6">
        <w:rPr>
          <w:rFonts w:cs="Arial"/>
          <w:bCs/>
          <w:lang w:val="de-DE"/>
        </w:rPr>
        <w:t xml:space="preserve"> </w:t>
      </w:r>
      <w:r w:rsidR="008D0A54" w:rsidRPr="007916D6">
        <w:rPr>
          <w:lang w:val="de-DE"/>
        </w:rPr>
        <w:t xml:space="preserve">(fluviales, eluviales und </w:t>
      </w:r>
      <w:proofErr w:type="spellStart"/>
      <w:r w:rsidR="008D0A54" w:rsidRPr="007916D6">
        <w:rPr>
          <w:lang w:val="de-DE"/>
        </w:rPr>
        <w:t>deluviales</w:t>
      </w:r>
      <w:proofErr w:type="spellEnd"/>
      <w:r w:rsidR="008D0A54" w:rsidRPr="007916D6">
        <w:rPr>
          <w:lang w:val="de-DE"/>
        </w:rPr>
        <w:t xml:space="preserve"> Sediment) mit freier Grundwasseroberfläche</w:t>
      </w:r>
      <w:r w:rsidR="00BB6520" w:rsidRPr="007916D6">
        <w:rPr>
          <w:lang w:val="de-DE"/>
        </w:rPr>
        <w:t xml:space="preserve"> wider</w:t>
      </w:r>
      <w:r w:rsidR="008D0A54" w:rsidRPr="007916D6">
        <w:rPr>
          <w:lang w:val="de-DE"/>
        </w:rPr>
        <w:t xml:space="preserve">. Die Quellaustritte repräsentieren den natürlichen Grundwasserabfluss </w:t>
      </w:r>
      <w:r w:rsidR="00CD18F4" w:rsidRPr="007916D6">
        <w:rPr>
          <w:lang w:val="de-DE"/>
        </w:rPr>
        <w:t>aus den verschiedenen Strukturen, und zwar sowohl der flachen als auch der tieferen. Die Wasserstände in den Ti</w:t>
      </w:r>
      <w:r w:rsidR="00CD18F4" w:rsidRPr="007916D6">
        <w:rPr>
          <w:lang w:val="de-DE"/>
        </w:rPr>
        <w:t>e</w:t>
      </w:r>
      <w:r w:rsidR="00CD18F4" w:rsidRPr="007916D6">
        <w:rPr>
          <w:lang w:val="de-DE"/>
        </w:rPr>
        <w:t>fenbohrungen ge</w:t>
      </w:r>
      <w:r w:rsidR="00BB6520" w:rsidRPr="007916D6">
        <w:rPr>
          <w:lang w:val="de-DE"/>
        </w:rPr>
        <w:t>be</w:t>
      </w:r>
      <w:r w:rsidR="00CD18F4" w:rsidRPr="007916D6">
        <w:rPr>
          <w:lang w:val="de-DE"/>
        </w:rPr>
        <w:t>n d</w:t>
      </w:r>
      <w:r w:rsidR="00846DDA" w:rsidRPr="007916D6">
        <w:rPr>
          <w:lang w:val="de-DE"/>
        </w:rPr>
        <w:t>as</w:t>
      </w:r>
      <w:r w:rsidR="00CD18F4" w:rsidRPr="007916D6">
        <w:rPr>
          <w:lang w:val="de-DE"/>
        </w:rPr>
        <w:t xml:space="preserve"> Grundwasser</w:t>
      </w:r>
      <w:r w:rsidR="00846DDA" w:rsidRPr="007916D6">
        <w:rPr>
          <w:lang w:val="de-DE"/>
        </w:rPr>
        <w:t>niveau</w:t>
      </w:r>
      <w:r w:rsidR="00CD18F4" w:rsidRPr="007916D6">
        <w:rPr>
          <w:lang w:val="de-DE"/>
        </w:rPr>
        <w:t xml:space="preserve"> in den Untergrundstrukturen unter Ausschluss des Einflusses der Deck</w:t>
      </w:r>
      <w:r w:rsidR="002565DD" w:rsidRPr="007916D6">
        <w:rPr>
          <w:lang w:val="de-DE"/>
        </w:rPr>
        <w:t>formationen</w:t>
      </w:r>
      <w:r w:rsidR="00CD18F4" w:rsidRPr="007916D6">
        <w:rPr>
          <w:lang w:val="de-DE"/>
        </w:rPr>
        <w:t xml:space="preserve"> mit freier oder gespannter Grundwasseroberfläche</w:t>
      </w:r>
      <w:r w:rsidR="00BB6520" w:rsidRPr="007916D6">
        <w:rPr>
          <w:lang w:val="de-DE"/>
        </w:rPr>
        <w:t xml:space="preserve"> an</w:t>
      </w:r>
      <w:r w:rsidR="00CD18F4" w:rsidRPr="007916D6">
        <w:rPr>
          <w:lang w:val="de-DE"/>
        </w:rPr>
        <w:t xml:space="preserve">. </w:t>
      </w:r>
      <w:r w:rsidR="00883982" w:rsidRPr="007916D6">
        <w:rPr>
          <w:lang w:val="de-DE"/>
        </w:rPr>
        <w:t xml:space="preserve">Im Einzugsgebiet der tschechischen Elbe </w:t>
      </w:r>
      <w:r w:rsidR="00CD18F4" w:rsidRPr="007916D6">
        <w:rPr>
          <w:lang w:val="de-DE"/>
        </w:rPr>
        <w:t xml:space="preserve">überwacht </w:t>
      </w:r>
      <w:r w:rsidR="00883982" w:rsidRPr="007916D6">
        <w:rPr>
          <w:lang w:val="de-DE"/>
        </w:rPr>
        <w:t xml:space="preserve">das </w:t>
      </w:r>
      <w:r w:rsidR="00883982" w:rsidRPr="007916D6">
        <w:rPr>
          <w:rFonts w:cs="Arial"/>
          <w:bCs/>
          <w:lang w:val="de-DE"/>
        </w:rPr>
        <w:t xml:space="preserve">ČHMÚ </w:t>
      </w:r>
      <w:r w:rsidR="00CD18F4" w:rsidRPr="007916D6">
        <w:rPr>
          <w:lang w:val="de-DE"/>
        </w:rPr>
        <w:t>106 Flachbohrungen, 88</w:t>
      </w:r>
      <w:r w:rsidR="00883982" w:rsidRPr="007916D6">
        <w:rPr>
          <w:lang w:val="de-DE"/>
        </w:rPr>
        <w:t> </w:t>
      </w:r>
      <w:r w:rsidR="00CD18F4" w:rsidRPr="007916D6">
        <w:rPr>
          <w:lang w:val="de-DE"/>
        </w:rPr>
        <w:t>Quellen und 54 Tiefenbohrungen des Meldenetzes.</w:t>
      </w:r>
    </w:p>
    <w:p w:rsidR="00CD18F4" w:rsidRPr="007916D6" w:rsidRDefault="00CD18F4" w:rsidP="00FA66D2">
      <w:pPr>
        <w:rPr>
          <w:lang w:val="de-DE"/>
        </w:rPr>
      </w:pPr>
    </w:p>
    <w:p w:rsidR="00CD18F4" w:rsidRPr="007916D6" w:rsidRDefault="00CD18F4" w:rsidP="00FA66D2">
      <w:pPr>
        <w:rPr>
          <w:lang w:val="de-DE"/>
        </w:rPr>
      </w:pPr>
      <w:r w:rsidRPr="007916D6">
        <w:rPr>
          <w:lang w:val="de-DE"/>
        </w:rPr>
        <w:t xml:space="preserve">Der Einfluss der </w:t>
      </w:r>
      <w:r w:rsidR="00DB0214" w:rsidRPr="007916D6">
        <w:rPr>
          <w:lang w:val="de-DE"/>
        </w:rPr>
        <w:t xml:space="preserve">Trockenperiode </w:t>
      </w:r>
      <w:r w:rsidRPr="007916D6">
        <w:rPr>
          <w:lang w:val="de-DE"/>
        </w:rPr>
        <w:t>auf das Grundwasser wurde anhand der Überschreitung</w:t>
      </w:r>
      <w:r w:rsidRPr="007916D6">
        <w:rPr>
          <w:lang w:val="de-DE"/>
        </w:rPr>
        <w:t>s</w:t>
      </w:r>
      <w:r w:rsidRPr="007916D6">
        <w:rPr>
          <w:lang w:val="de-DE"/>
        </w:rPr>
        <w:t>wahrscheinlichkeit des Wasserstands bzw. der Quellschüttung im entsprechenden Kalende</w:t>
      </w:r>
      <w:r w:rsidRPr="007916D6">
        <w:rPr>
          <w:lang w:val="de-DE"/>
        </w:rPr>
        <w:t>r</w:t>
      </w:r>
      <w:r w:rsidRPr="007916D6">
        <w:rPr>
          <w:lang w:val="de-DE"/>
        </w:rPr>
        <w:t xml:space="preserve">monat bewertet. Der </w:t>
      </w:r>
      <w:r w:rsidR="00041EC5" w:rsidRPr="007916D6">
        <w:rPr>
          <w:lang w:val="de-DE"/>
        </w:rPr>
        <w:t>Ausprägungsgrad</w:t>
      </w:r>
      <w:r w:rsidRPr="007916D6">
        <w:rPr>
          <w:lang w:val="de-DE"/>
        </w:rPr>
        <w:t xml:space="preserve"> der Niedrigwassersituation wird </w:t>
      </w:r>
      <w:r w:rsidR="00883982" w:rsidRPr="007916D6">
        <w:rPr>
          <w:lang w:val="de-DE"/>
        </w:rPr>
        <w:t>mittels</w:t>
      </w:r>
      <w:r w:rsidRPr="007916D6">
        <w:rPr>
          <w:lang w:val="de-DE"/>
        </w:rPr>
        <w:t xml:space="preserve"> drei</w:t>
      </w:r>
      <w:r w:rsidR="00883982" w:rsidRPr="007916D6">
        <w:rPr>
          <w:lang w:val="de-DE"/>
        </w:rPr>
        <w:t>er</w:t>
      </w:r>
      <w:r w:rsidRPr="007916D6">
        <w:rPr>
          <w:lang w:val="de-DE"/>
        </w:rPr>
        <w:t xml:space="preserve"> Kateg</w:t>
      </w:r>
      <w:r w:rsidRPr="007916D6">
        <w:rPr>
          <w:lang w:val="de-DE"/>
        </w:rPr>
        <w:t>o</w:t>
      </w:r>
      <w:r w:rsidRPr="007916D6">
        <w:rPr>
          <w:lang w:val="de-DE"/>
        </w:rPr>
        <w:t>rien charakterisiert, die a</w:t>
      </w:r>
      <w:r w:rsidR="00041EC5" w:rsidRPr="007916D6">
        <w:rPr>
          <w:lang w:val="de-DE"/>
        </w:rPr>
        <w:t>nhand</w:t>
      </w:r>
      <w:r w:rsidRPr="007916D6">
        <w:rPr>
          <w:lang w:val="de-DE"/>
        </w:rPr>
        <w:t xml:space="preserve"> der für den Bezugszeitraum 1981 – 2010 abgeleiteten </w:t>
      </w:r>
      <w:r w:rsidR="00883982" w:rsidRPr="007916D6">
        <w:rPr>
          <w:lang w:val="de-DE"/>
        </w:rPr>
        <w:t>monatl</w:t>
      </w:r>
      <w:r w:rsidR="00883982" w:rsidRPr="007916D6">
        <w:rPr>
          <w:lang w:val="de-DE"/>
        </w:rPr>
        <w:t>i</w:t>
      </w:r>
      <w:r w:rsidR="00883982" w:rsidRPr="007916D6">
        <w:rPr>
          <w:lang w:val="de-DE"/>
        </w:rPr>
        <w:t xml:space="preserve">chen </w:t>
      </w:r>
      <w:r w:rsidRPr="007916D6">
        <w:rPr>
          <w:lang w:val="de-DE"/>
        </w:rPr>
        <w:t>Überschreitungskurve bestimmt werden. Der Bereich von 25 bis 75 %</w:t>
      </w:r>
      <w:r w:rsidR="006A4938" w:rsidRPr="007916D6">
        <w:rPr>
          <w:lang w:val="de-DE"/>
        </w:rPr>
        <w:t xml:space="preserve"> umfasst die No</w:t>
      </w:r>
      <w:r w:rsidR="006A4938" w:rsidRPr="007916D6">
        <w:rPr>
          <w:lang w:val="de-DE"/>
        </w:rPr>
        <w:t>r</w:t>
      </w:r>
      <w:r w:rsidR="006A4938" w:rsidRPr="007916D6">
        <w:rPr>
          <w:lang w:val="de-DE"/>
        </w:rPr>
        <w:t xml:space="preserve">malwerte. Als </w:t>
      </w:r>
      <w:r w:rsidR="00883982" w:rsidRPr="007916D6">
        <w:rPr>
          <w:lang w:val="de-DE"/>
        </w:rPr>
        <w:t>mäßig</w:t>
      </w:r>
      <w:r w:rsidR="006A4938" w:rsidRPr="007916D6">
        <w:rPr>
          <w:lang w:val="de-DE"/>
        </w:rPr>
        <w:t>e Niedrigwassersituation werden Werte mit einer Überschreitungswah</w:t>
      </w:r>
      <w:r w:rsidR="006A4938" w:rsidRPr="007916D6">
        <w:rPr>
          <w:lang w:val="de-DE"/>
        </w:rPr>
        <w:t>r</w:t>
      </w:r>
      <w:r w:rsidR="006A4938" w:rsidRPr="007916D6">
        <w:rPr>
          <w:lang w:val="de-DE"/>
        </w:rPr>
        <w:t xml:space="preserve">scheinlichkeit von 75 bis 85 % betrachtet, Werte mit einer Überschreitungswahrscheinlichkeit von 85 bis 95 % </w:t>
      </w:r>
      <w:r w:rsidR="00883982" w:rsidRPr="007916D6">
        <w:rPr>
          <w:lang w:val="de-DE"/>
        </w:rPr>
        <w:t xml:space="preserve">als starke Niedrigwassersituation. </w:t>
      </w:r>
      <w:r w:rsidR="006A4938" w:rsidRPr="007916D6">
        <w:rPr>
          <w:lang w:val="de-DE"/>
        </w:rPr>
        <w:t>Als extreme Niedrigwassersituation werden Werte be</w:t>
      </w:r>
      <w:r w:rsidR="00846DDA" w:rsidRPr="007916D6">
        <w:rPr>
          <w:lang w:val="de-DE"/>
        </w:rPr>
        <w:t>zei</w:t>
      </w:r>
      <w:r w:rsidR="00883982" w:rsidRPr="007916D6">
        <w:rPr>
          <w:lang w:val="de-DE"/>
        </w:rPr>
        <w:t>ch</w:t>
      </w:r>
      <w:r w:rsidR="00846DDA" w:rsidRPr="007916D6">
        <w:rPr>
          <w:lang w:val="de-DE"/>
        </w:rPr>
        <w:t>n</w:t>
      </w:r>
      <w:r w:rsidR="00883982" w:rsidRPr="007916D6">
        <w:rPr>
          <w:lang w:val="de-DE"/>
        </w:rPr>
        <w:t>et</w:t>
      </w:r>
      <w:r w:rsidR="006A4938" w:rsidRPr="007916D6">
        <w:rPr>
          <w:lang w:val="de-DE"/>
        </w:rPr>
        <w:t>, die 95 bis 100 % entsprechen. Die Bewertung erfolgte sowohl für einzelne Messstellen als auch zusammenfassend für definierte Teileinzugsgebiete.</w:t>
      </w:r>
    </w:p>
    <w:p w:rsidR="006A4938" w:rsidRPr="007916D6" w:rsidRDefault="006A4938" w:rsidP="00FA66D2">
      <w:pPr>
        <w:rPr>
          <w:lang w:val="de-DE"/>
        </w:rPr>
      </w:pPr>
    </w:p>
    <w:p w:rsidR="00840953" w:rsidRPr="00E56594" w:rsidRDefault="00070C6E" w:rsidP="0056178E">
      <w:pPr>
        <w:rPr>
          <w:lang w:val="de-DE"/>
        </w:rPr>
      </w:pPr>
      <w:r w:rsidRPr="00E56594">
        <w:rPr>
          <w:lang w:val="de-DE"/>
        </w:rPr>
        <w:t>Die</w:t>
      </w:r>
      <w:r w:rsidR="006A4938" w:rsidRPr="00E56594">
        <w:rPr>
          <w:lang w:val="de-DE"/>
        </w:rPr>
        <w:t xml:space="preserve"> </w:t>
      </w:r>
      <w:r w:rsidR="001704FE" w:rsidRPr="00E56594">
        <w:rPr>
          <w:lang w:val="de-DE"/>
        </w:rPr>
        <w:t xml:space="preserve">Trockenperiode </w:t>
      </w:r>
      <w:r w:rsidR="00826C81" w:rsidRPr="00E56594">
        <w:rPr>
          <w:lang w:val="de-DE"/>
        </w:rPr>
        <w:t xml:space="preserve">des Jahres 2015 </w:t>
      </w:r>
      <w:r w:rsidRPr="00E56594">
        <w:rPr>
          <w:lang w:val="de-DE"/>
        </w:rPr>
        <w:t xml:space="preserve">hatte </w:t>
      </w:r>
      <w:r w:rsidR="006A4938" w:rsidRPr="00E56594">
        <w:rPr>
          <w:lang w:val="de-DE"/>
        </w:rPr>
        <w:t xml:space="preserve">auf das </w:t>
      </w:r>
      <w:r w:rsidR="006A4938" w:rsidRPr="00E56594">
        <w:rPr>
          <w:b/>
          <w:lang w:val="de-DE"/>
        </w:rPr>
        <w:t>Grundwasser in Deutschland</w:t>
      </w:r>
      <w:r w:rsidR="006A4938" w:rsidRPr="00E56594">
        <w:rPr>
          <w:lang w:val="de-DE"/>
        </w:rPr>
        <w:t xml:space="preserve"> </w:t>
      </w:r>
      <w:r w:rsidRPr="00E56594">
        <w:rPr>
          <w:lang w:val="de-DE"/>
        </w:rPr>
        <w:t xml:space="preserve">regional sehr unterschiedlichen Einfluss und </w:t>
      </w:r>
      <w:r w:rsidR="00826C81" w:rsidRPr="00E56594">
        <w:rPr>
          <w:lang w:val="de-DE"/>
        </w:rPr>
        <w:t xml:space="preserve">wurde </w:t>
      </w:r>
      <w:r w:rsidRPr="00E56594">
        <w:rPr>
          <w:lang w:val="de-DE"/>
        </w:rPr>
        <w:t xml:space="preserve">daher </w:t>
      </w:r>
      <w:r w:rsidR="001E682E" w:rsidRPr="00E56594">
        <w:rPr>
          <w:lang w:val="de-DE"/>
        </w:rPr>
        <w:t xml:space="preserve">im deutschen Teil des Elbe-Einzugsgebietes </w:t>
      </w:r>
      <w:r w:rsidRPr="00E56594">
        <w:rPr>
          <w:lang w:val="de-DE"/>
        </w:rPr>
        <w:t xml:space="preserve">nur von </w:t>
      </w:r>
      <w:r w:rsidR="001E682E" w:rsidRPr="00E56594">
        <w:rPr>
          <w:lang w:val="de-DE"/>
        </w:rPr>
        <w:t>den</w:t>
      </w:r>
      <w:r w:rsidR="00826C81" w:rsidRPr="00E56594">
        <w:rPr>
          <w:lang w:val="de-DE"/>
        </w:rPr>
        <w:t xml:space="preserve"> Bundesländern </w:t>
      </w:r>
      <w:r w:rsidR="00757B47" w:rsidRPr="00E56594">
        <w:rPr>
          <w:lang w:val="de-DE"/>
        </w:rPr>
        <w:t xml:space="preserve">Niedersachsen, Brandenburg, </w:t>
      </w:r>
      <w:r w:rsidR="001E682E" w:rsidRPr="00E56594">
        <w:rPr>
          <w:lang w:val="de-DE"/>
        </w:rPr>
        <w:t>Sachsen-Anhalt, Sachsen</w:t>
      </w:r>
      <w:r w:rsidR="00757B47" w:rsidRPr="00E56594">
        <w:rPr>
          <w:lang w:val="de-DE"/>
        </w:rPr>
        <w:t xml:space="preserve"> und </w:t>
      </w:r>
      <w:r w:rsidR="001E682E" w:rsidRPr="00E56594">
        <w:rPr>
          <w:lang w:val="de-DE"/>
        </w:rPr>
        <w:t>Th</w:t>
      </w:r>
      <w:r w:rsidR="001E682E" w:rsidRPr="00E56594">
        <w:rPr>
          <w:lang w:val="de-DE"/>
        </w:rPr>
        <w:t>ü</w:t>
      </w:r>
      <w:r w:rsidR="001E682E" w:rsidRPr="00E56594">
        <w:rPr>
          <w:lang w:val="de-DE"/>
        </w:rPr>
        <w:t xml:space="preserve">ringen </w:t>
      </w:r>
      <w:r w:rsidRPr="00E56594">
        <w:rPr>
          <w:lang w:val="de-DE"/>
        </w:rPr>
        <w:t xml:space="preserve">nach landesspezifischen Vorgehensweisen bewertet. </w:t>
      </w:r>
      <w:r w:rsidR="00840953" w:rsidRPr="00E56594">
        <w:rPr>
          <w:lang w:val="de-DE"/>
        </w:rPr>
        <w:t>Die nachstehende Tabelle gibt e</w:t>
      </w:r>
      <w:r w:rsidR="00840953" w:rsidRPr="00E56594">
        <w:rPr>
          <w:lang w:val="de-DE"/>
        </w:rPr>
        <w:t>i</w:t>
      </w:r>
      <w:r w:rsidR="00840953" w:rsidRPr="00E56594">
        <w:rPr>
          <w:lang w:val="de-DE"/>
        </w:rPr>
        <w:t>nen Überblick:</w:t>
      </w:r>
    </w:p>
    <w:p w:rsidR="007F66A9" w:rsidRPr="00E56594" w:rsidRDefault="007F66A9" w:rsidP="0056178E">
      <w:pPr>
        <w:rPr>
          <w:lang w:val="de-DE"/>
        </w:rPr>
      </w:pPr>
    </w:p>
    <w:tbl>
      <w:tblPr>
        <w:tblStyle w:val="Tabellenraster"/>
        <w:tblW w:w="9464" w:type="dxa"/>
        <w:tblLayout w:type="fixed"/>
        <w:tblLook w:val="04A0" w:firstRow="1" w:lastRow="0" w:firstColumn="1" w:lastColumn="0" w:noHBand="0" w:noVBand="1"/>
      </w:tblPr>
      <w:tblGrid>
        <w:gridCol w:w="1668"/>
        <w:gridCol w:w="1580"/>
        <w:gridCol w:w="1554"/>
        <w:gridCol w:w="1554"/>
        <w:gridCol w:w="1554"/>
        <w:gridCol w:w="1554"/>
      </w:tblGrid>
      <w:tr w:rsidR="006313C2" w:rsidRPr="00E56594" w:rsidTr="00E46CC5">
        <w:trPr>
          <w:cantSplit/>
          <w:tblHeader/>
        </w:trPr>
        <w:tc>
          <w:tcPr>
            <w:tcW w:w="1668" w:type="dxa"/>
            <w:shd w:val="clear" w:color="auto" w:fill="D9D9D9" w:themeFill="background1" w:themeFillShade="D9"/>
          </w:tcPr>
          <w:p w:rsidR="00757B47" w:rsidRPr="00E56594" w:rsidRDefault="00757B47" w:rsidP="0056178E">
            <w:pPr>
              <w:rPr>
                <w:rFonts w:cs="Arial"/>
                <w:sz w:val="15"/>
                <w:szCs w:val="15"/>
                <w:lang w:val="de-DE"/>
              </w:rPr>
            </w:pPr>
          </w:p>
        </w:tc>
        <w:tc>
          <w:tcPr>
            <w:tcW w:w="1580" w:type="dxa"/>
            <w:shd w:val="clear" w:color="auto" w:fill="D9D9D9" w:themeFill="background1" w:themeFillShade="D9"/>
          </w:tcPr>
          <w:p w:rsidR="00757B47" w:rsidRPr="00E56594" w:rsidRDefault="00757B47" w:rsidP="00757B47">
            <w:pPr>
              <w:jc w:val="left"/>
              <w:rPr>
                <w:rFonts w:cs="Arial"/>
                <w:sz w:val="15"/>
                <w:szCs w:val="15"/>
                <w:lang w:val="de-DE"/>
              </w:rPr>
            </w:pPr>
            <w:r w:rsidRPr="00E56594">
              <w:rPr>
                <w:rFonts w:cs="Arial"/>
                <w:sz w:val="15"/>
                <w:szCs w:val="15"/>
                <w:lang w:val="de-DE"/>
              </w:rPr>
              <w:t>Niedersachsen</w:t>
            </w:r>
          </w:p>
        </w:tc>
        <w:tc>
          <w:tcPr>
            <w:tcW w:w="1554" w:type="dxa"/>
            <w:shd w:val="clear" w:color="auto" w:fill="D9D9D9" w:themeFill="background1" w:themeFillShade="D9"/>
          </w:tcPr>
          <w:p w:rsidR="00757B47" w:rsidRPr="00E56594" w:rsidRDefault="00757B47" w:rsidP="00757B47">
            <w:pPr>
              <w:jc w:val="left"/>
              <w:rPr>
                <w:rFonts w:cs="Arial"/>
                <w:sz w:val="15"/>
                <w:szCs w:val="15"/>
                <w:lang w:val="de-DE"/>
              </w:rPr>
            </w:pPr>
            <w:r w:rsidRPr="00E56594">
              <w:rPr>
                <w:rFonts w:cs="Arial"/>
                <w:sz w:val="15"/>
                <w:szCs w:val="15"/>
                <w:lang w:val="de-DE"/>
              </w:rPr>
              <w:t>Brandenburg</w:t>
            </w:r>
          </w:p>
        </w:tc>
        <w:tc>
          <w:tcPr>
            <w:tcW w:w="1554" w:type="dxa"/>
            <w:shd w:val="clear" w:color="auto" w:fill="D9D9D9" w:themeFill="background1" w:themeFillShade="D9"/>
          </w:tcPr>
          <w:p w:rsidR="00757B47" w:rsidRPr="00E56594" w:rsidRDefault="00757B47" w:rsidP="00757B47">
            <w:pPr>
              <w:jc w:val="left"/>
              <w:rPr>
                <w:rFonts w:cs="Arial"/>
                <w:sz w:val="15"/>
                <w:szCs w:val="15"/>
                <w:lang w:val="de-DE"/>
              </w:rPr>
            </w:pPr>
            <w:r w:rsidRPr="00E56594">
              <w:rPr>
                <w:rFonts w:cs="Arial"/>
                <w:sz w:val="15"/>
                <w:szCs w:val="15"/>
                <w:lang w:val="de-DE"/>
              </w:rPr>
              <w:t>Sachsen-Anhalt</w:t>
            </w:r>
          </w:p>
        </w:tc>
        <w:tc>
          <w:tcPr>
            <w:tcW w:w="1554" w:type="dxa"/>
            <w:shd w:val="clear" w:color="auto" w:fill="D9D9D9" w:themeFill="background1" w:themeFillShade="D9"/>
          </w:tcPr>
          <w:p w:rsidR="00757B47" w:rsidRPr="00E56594" w:rsidRDefault="00757B47" w:rsidP="00757B47">
            <w:pPr>
              <w:jc w:val="left"/>
              <w:rPr>
                <w:rFonts w:cs="Arial"/>
                <w:sz w:val="15"/>
                <w:szCs w:val="15"/>
                <w:lang w:val="de-DE"/>
              </w:rPr>
            </w:pPr>
            <w:r w:rsidRPr="00E56594">
              <w:rPr>
                <w:rFonts w:cs="Arial"/>
                <w:sz w:val="15"/>
                <w:szCs w:val="15"/>
                <w:lang w:val="de-DE"/>
              </w:rPr>
              <w:t>Sachsen</w:t>
            </w:r>
          </w:p>
        </w:tc>
        <w:tc>
          <w:tcPr>
            <w:tcW w:w="1554" w:type="dxa"/>
            <w:shd w:val="clear" w:color="auto" w:fill="D9D9D9" w:themeFill="background1" w:themeFillShade="D9"/>
          </w:tcPr>
          <w:p w:rsidR="00757B47" w:rsidRPr="00E56594" w:rsidRDefault="00757B47" w:rsidP="00757B47">
            <w:pPr>
              <w:jc w:val="left"/>
              <w:rPr>
                <w:rFonts w:cs="Arial"/>
                <w:sz w:val="15"/>
                <w:szCs w:val="15"/>
                <w:lang w:val="de-DE"/>
              </w:rPr>
            </w:pPr>
            <w:r w:rsidRPr="00E56594">
              <w:rPr>
                <w:rFonts w:cs="Arial"/>
                <w:sz w:val="15"/>
                <w:szCs w:val="15"/>
                <w:lang w:val="de-DE"/>
              </w:rPr>
              <w:t>Thüringen</w:t>
            </w:r>
          </w:p>
        </w:tc>
      </w:tr>
      <w:tr w:rsidR="006313C2" w:rsidRPr="00E56594" w:rsidTr="00E46CC5">
        <w:trPr>
          <w:cantSplit/>
        </w:trPr>
        <w:tc>
          <w:tcPr>
            <w:tcW w:w="1668" w:type="dxa"/>
          </w:tcPr>
          <w:p w:rsidR="00757B47" w:rsidRPr="00E56594" w:rsidRDefault="00757B47" w:rsidP="00840953">
            <w:pPr>
              <w:jc w:val="left"/>
              <w:rPr>
                <w:rFonts w:cs="Arial"/>
                <w:sz w:val="15"/>
                <w:szCs w:val="15"/>
                <w:lang w:val="de-DE"/>
              </w:rPr>
            </w:pPr>
            <w:r w:rsidRPr="00E56594">
              <w:rPr>
                <w:rFonts w:cs="Arial"/>
                <w:sz w:val="15"/>
                <w:szCs w:val="15"/>
                <w:lang w:val="de-DE"/>
              </w:rPr>
              <w:t>Anzahl ausgewerteter Quellen</w:t>
            </w:r>
          </w:p>
        </w:tc>
        <w:tc>
          <w:tcPr>
            <w:tcW w:w="1580" w:type="dxa"/>
          </w:tcPr>
          <w:p w:rsidR="00757B47" w:rsidRPr="00E56594" w:rsidRDefault="00757B47" w:rsidP="00757B47">
            <w:pPr>
              <w:jc w:val="left"/>
              <w:rPr>
                <w:rFonts w:cs="Arial"/>
                <w:sz w:val="15"/>
                <w:szCs w:val="15"/>
                <w:lang w:val="de-DE"/>
              </w:rPr>
            </w:pPr>
            <w:r w:rsidRPr="00E56594">
              <w:rPr>
                <w:rFonts w:cs="Arial"/>
                <w:sz w:val="15"/>
                <w:szCs w:val="15"/>
                <w:lang w:val="de-DE"/>
              </w:rPr>
              <w:t>-</w:t>
            </w:r>
          </w:p>
        </w:tc>
        <w:tc>
          <w:tcPr>
            <w:tcW w:w="1554" w:type="dxa"/>
          </w:tcPr>
          <w:p w:rsidR="00757B47" w:rsidRPr="00E56594" w:rsidRDefault="00757B47" w:rsidP="00757B47">
            <w:pPr>
              <w:jc w:val="left"/>
              <w:rPr>
                <w:rFonts w:cs="Arial"/>
                <w:sz w:val="15"/>
                <w:szCs w:val="15"/>
                <w:lang w:val="de-DE"/>
              </w:rPr>
            </w:pPr>
            <w:r w:rsidRPr="00E56594">
              <w:rPr>
                <w:rFonts w:cs="Arial"/>
                <w:sz w:val="15"/>
                <w:szCs w:val="15"/>
                <w:lang w:val="de-DE"/>
              </w:rPr>
              <w:t>-</w:t>
            </w:r>
          </w:p>
        </w:tc>
        <w:tc>
          <w:tcPr>
            <w:tcW w:w="1554" w:type="dxa"/>
          </w:tcPr>
          <w:p w:rsidR="00757B47" w:rsidRPr="00E56594" w:rsidRDefault="00757B47" w:rsidP="00757B47">
            <w:pPr>
              <w:jc w:val="left"/>
              <w:rPr>
                <w:rFonts w:cs="Arial"/>
                <w:sz w:val="15"/>
                <w:szCs w:val="15"/>
                <w:lang w:val="de-DE"/>
              </w:rPr>
            </w:pPr>
            <w:r w:rsidRPr="00E56594">
              <w:rPr>
                <w:rFonts w:cs="Arial"/>
                <w:sz w:val="15"/>
                <w:szCs w:val="15"/>
                <w:lang w:val="de-DE"/>
              </w:rPr>
              <w:t>-</w:t>
            </w:r>
          </w:p>
        </w:tc>
        <w:tc>
          <w:tcPr>
            <w:tcW w:w="1554" w:type="dxa"/>
          </w:tcPr>
          <w:p w:rsidR="00757B47" w:rsidRPr="00E56594" w:rsidRDefault="00757B47" w:rsidP="00757B47">
            <w:pPr>
              <w:jc w:val="left"/>
              <w:rPr>
                <w:rFonts w:cs="Arial"/>
                <w:sz w:val="15"/>
                <w:szCs w:val="15"/>
                <w:lang w:val="de-DE"/>
              </w:rPr>
            </w:pPr>
            <w:r w:rsidRPr="00E56594">
              <w:rPr>
                <w:rFonts w:cs="Arial"/>
                <w:sz w:val="15"/>
                <w:szCs w:val="15"/>
                <w:lang w:val="de-DE"/>
              </w:rPr>
              <w:t>50</w:t>
            </w:r>
          </w:p>
        </w:tc>
        <w:tc>
          <w:tcPr>
            <w:tcW w:w="1554" w:type="dxa"/>
          </w:tcPr>
          <w:p w:rsidR="00757B47" w:rsidRPr="00E56594" w:rsidRDefault="00757B47" w:rsidP="00757B47">
            <w:pPr>
              <w:jc w:val="left"/>
              <w:rPr>
                <w:rFonts w:cs="Arial"/>
                <w:sz w:val="15"/>
                <w:szCs w:val="15"/>
                <w:lang w:val="de-DE"/>
              </w:rPr>
            </w:pPr>
            <w:r w:rsidRPr="00E56594">
              <w:rPr>
                <w:rFonts w:cs="Arial"/>
                <w:sz w:val="15"/>
                <w:szCs w:val="15"/>
                <w:lang w:val="de-DE"/>
              </w:rPr>
              <w:t>-</w:t>
            </w:r>
          </w:p>
        </w:tc>
      </w:tr>
      <w:tr w:rsidR="006313C2" w:rsidRPr="00E56594" w:rsidTr="00E46CC5">
        <w:trPr>
          <w:cantSplit/>
        </w:trPr>
        <w:tc>
          <w:tcPr>
            <w:tcW w:w="1668" w:type="dxa"/>
          </w:tcPr>
          <w:p w:rsidR="00757B47" w:rsidRPr="00E56594" w:rsidRDefault="00757B47" w:rsidP="00840953">
            <w:pPr>
              <w:jc w:val="left"/>
              <w:rPr>
                <w:rFonts w:cs="Arial"/>
                <w:sz w:val="15"/>
                <w:szCs w:val="15"/>
                <w:lang w:val="de-DE"/>
              </w:rPr>
            </w:pPr>
            <w:r w:rsidRPr="00E56594">
              <w:rPr>
                <w:rFonts w:cs="Arial"/>
                <w:sz w:val="15"/>
                <w:szCs w:val="15"/>
                <w:lang w:val="de-DE"/>
              </w:rPr>
              <w:t>Anzahl ausgewerteter Flachbohrungen</w:t>
            </w:r>
          </w:p>
        </w:tc>
        <w:tc>
          <w:tcPr>
            <w:tcW w:w="1580" w:type="dxa"/>
            <w:vMerge w:val="restart"/>
          </w:tcPr>
          <w:p w:rsidR="00757B47" w:rsidRPr="00E56594" w:rsidRDefault="00757B47" w:rsidP="00757B47">
            <w:pPr>
              <w:jc w:val="left"/>
              <w:rPr>
                <w:rFonts w:cs="Arial"/>
                <w:sz w:val="15"/>
                <w:szCs w:val="15"/>
                <w:lang w:val="de-DE"/>
              </w:rPr>
            </w:pPr>
            <w:r w:rsidRPr="00E56594">
              <w:rPr>
                <w:rFonts w:cs="Arial"/>
                <w:sz w:val="15"/>
                <w:szCs w:val="15"/>
                <w:lang w:val="de-DE"/>
              </w:rPr>
              <w:t>110 (keine Differe</w:t>
            </w:r>
            <w:r w:rsidRPr="00E56594">
              <w:rPr>
                <w:rFonts w:cs="Arial"/>
                <w:sz w:val="15"/>
                <w:szCs w:val="15"/>
                <w:lang w:val="de-DE"/>
              </w:rPr>
              <w:t>n</w:t>
            </w:r>
            <w:r w:rsidRPr="00E56594">
              <w:rPr>
                <w:rFonts w:cs="Arial"/>
                <w:sz w:val="15"/>
                <w:szCs w:val="15"/>
                <w:lang w:val="de-DE"/>
              </w:rPr>
              <w:t>zierung nach Boh</w:t>
            </w:r>
            <w:r w:rsidRPr="00E56594">
              <w:rPr>
                <w:rFonts w:cs="Arial"/>
                <w:sz w:val="15"/>
                <w:szCs w:val="15"/>
                <w:lang w:val="de-DE"/>
              </w:rPr>
              <w:t>r</w:t>
            </w:r>
            <w:r w:rsidRPr="00E56594">
              <w:rPr>
                <w:rFonts w:cs="Arial"/>
                <w:sz w:val="15"/>
                <w:szCs w:val="15"/>
                <w:lang w:val="de-DE"/>
              </w:rPr>
              <w:t>tiefe)</w:t>
            </w:r>
          </w:p>
        </w:tc>
        <w:tc>
          <w:tcPr>
            <w:tcW w:w="1554" w:type="dxa"/>
          </w:tcPr>
          <w:p w:rsidR="00757B47" w:rsidRPr="00E56594" w:rsidRDefault="00757B47" w:rsidP="00757B47">
            <w:pPr>
              <w:jc w:val="left"/>
              <w:rPr>
                <w:rFonts w:cs="Arial"/>
                <w:sz w:val="15"/>
                <w:szCs w:val="15"/>
                <w:lang w:val="de-DE"/>
              </w:rPr>
            </w:pPr>
            <w:r w:rsidRPr="00E56594">
              <w:rPr>
                <w:rFonts w:cs="Arial"/>
                <w:sz w:val="15"/>
                <w:szCs w:val="15"/>
                <w:lang w:val="de-DE"/>
              </w:rPr>
              <w:t>11 (bis zu 30 m Ti</w:t>
            </w:r>
            <w:r w:rsidRPr="00E56594">
              <w:rPr>
                <w:rFonts w:cs="Arial"/>
                <w:sz w:val="15"/>
                <w:szCs w:val="15"/>
                <w:lang w:val="de-DE"/>
              </w:rPr>
              <w:t>e</w:t>
            </w:r>
            <w:r w:rsidRPr="00E56594">
              <w:rPr>
                <w:rFonts w:cs="Arial"/>
                <w:sz w:val="15"/>
                <w:szCs w:val="15"/>
                <w:lang w:val="de-DE"/>
              </w:rPr>
              <w:t>fe)</w:t>
            </w:r>
          </w:p>
        </w:tc>
        <w:tc>
          <w:tcPr>
            <w:tcW w:w="1554" w:type="dxa"/>
          </w:tcPr>
          <w:p w:rsidR="00757B47" w:rsidRPr="00E56594" w:rsidRDefault="00E46CC5" w:rsidP="00757B47">
            <w:pPr>
              <w:jc w:val="left"/>
              <w:rPr>
                <w:rFonts w:cs="Arial"/>
                <w:sz w:val="15"/>
                <w:szCs w:val="15"/>
                <w:lang w:val="de-DE"/>
              </w:rPr>
            </w:pPr>
            <w:r w:rsidRPr="00E56594">
              <w:rPr>
                <w:rFonts w:cs="Arial"/>
                <w:sz w:val="15"/>
                <w:szCs w:val="15"/>
                <w:lang w:val="de-DE"/>
              </w:rPr>
              <w:t>12</w:t>
            </w:r>
          </w:p>
        </w:tc>
        <w:tc>
          <w:tcPr>
            <w:tcW w:w="1554" w:type="dxa"/>
            <w:vMerge w:val="restart"/>
          </w:tcPr>
          <w:p w:rsidR="00757B47" w:rsidRPr="00E56594" w:rsidRDefault="00757B47" w:rsidP="00757B47">
            <w:pPr>
              <w:jc w:val="left"/>
              <w:rPr>
                <w:rFonts w:cs="Arial"/>
                <w:sz w:val="15"/>
                <w:szCs w:val="15"/>
                <w:lang w:val="de-DE"/>
              </w:rPr>
            </w:pPr>
            <w:r w:rsidRPr="00E56594">
              <w:rPr>
                <w:rFonts w:cs="Arial"/>
                <w:sz w:val="15"/>
                <w:szCs w:val="15"/>
                <w:lang w:val="de-DE"/>
              </w:rPr>
              <w:t>1100 (keine Diff</w:t>
            </w:r>
            <w:r w:rsidRPr="00E56594">
              <w:rPr>
                <w:rFonts w:cs="Arial"/>
                <w:sz w:val="15"/>
                <w:szCs w:val="15"/>
                <w:lang w:val="de-DE"/>
              </w:rPr>
              <w:t>e</w:t>
            </w:r>
            <w:r w:rsidRPr="00E56594">
              <w:rPr>
                <w:rFonts w:cs="Arial"/>
                <w:sz w:val="15"/>
                <w:szCs w:val="15"/>
                <w:lang w:val="de-DE"/>
              </w:rPr>
              <w:t>renzierung nach Bohrtiefe)</w:t>
            </w:r>
          </w:p>
        </w:tc>
        <w:tc>
          <w:tcPr>
            <w:tcW w:w="1554" w:type="dxa"/>
          </w:tcPr>
          <w:p w:rsidR="00757B47" w:rsidRPr="00E56594" w:rsidRDefault="00757B47" w:rsidP="00757B47">
            <w:pPr>
              <w:jc w:val="left"/>
              <w:rPr>
                <w:rFonts w:cs="Arial"/>
                <w:sz w:val="15"/>
                <w:szCs w:val="15"/>
                <w:lang w:val="de-DE"/>
              </w:rPr>
            </w:pPr>
            <w:r w:rsidRPr="00E56594">
              <w:rPr>
                <w:rFonts w:cs="Arial"/>
                <w:sz w:val="15"/>
                <w:szCs w:val="15"/>
                <w:lang w:val="de-DE"/>
              </w:rPr>
              <w:t>20 (bis zu 20 m Ti</w:t>
            </w:r>
            <w:r w:rsidRPr="00E56594">
              <w:rPr>
                <w:rFonts w:cs="Arial"/>
                <w:sz w:val="15"/>
                <w:szCs w:val="15"/>
                <w:lang w:val="de-DE"/>
              </w:rPr>
              <w:t>e</w:t>
            </w:r>
            <w:r w:rsidRPr="00E56594">
              <w:rPr>
                <w:rFonts w:cs="Arial"/>
                <w:sz w:val="15"/>
                <w:szCs w:val="15"/>
                <w:lang w:val="de-DE"/>
              </w:rPr>
              <w:t>fe</w:t>
            </w:r>
          </w:p>
        </w:tc>
      </w:tr>
      <w:tr w:rsidR="006313C2" w:rsidRPr="00E46CC5" w:rsidTr="00E46CC5">
        <w:trPr>
          <w:cantSplit/>
        </w:trPr>
        <w:tc>
          <w:tcPr>
            <w:tcW w:w="1668" w:type="dxa"/>
          </w:tcPr>
          <w:p w:rsidR="00757B47" w:rsidRPr="00E56594" w:rsidRDefault="00757B47" w:rsidP="00840953">
            <w:pPr>
              <w:jc w:val="left"/>
              <w:rPr>
                <w:rFonts w:cs="Arial"/>
                <w:sz w:val="15"/>
                <w:szCs w:val="15"/>
                <w:lang w:val="de-DE"/>
              </w:rPr>
            </w:pPr>
            <w:r w:rsidRPr="00E56594">
              <w:rPr>
                <w:rFonts w:cs="Arial"/>
                <w:sz w:val="15"/>
                <w:szCs w:val="15"/>
                <w:lang w:val="de-DE"/>
              </w:rPr>
              <w:t>Anzahl ausgewerteter Tiefbohrungen</w:t>
            </w:r>
          </w:p>
        </w:tc>
        <w:tc>
          <w:tcPr>
            <w:tcW w:w="1580" w:type="dxa"/>
            <w:vMerge/>
          </w:tcPr>
          <w:p w:rsidR="00757B47" w:rsidRPr="00E56594" w:rsidRDefault="00757B47" w:rsidP="00757B47">
            <w:pPr>
              <w:jc w:val="left"/>
              <w:rPr>
                <w:rFonts w:cs="Arial"/>
                <w:sz w:val="15"/>
                <w:szCs w:val="15"/>
                <w:lang w:val="de-DE"/>
              </w:rPr>
            </w:pPr>
          </w:p>
        </w:tc>
        <w:tc>
          <w:tcPr>
            <w:tcW w:w="1554" w:type="dxa"/>
          </w:tcPr>
          <w:p w:rsidR="00757B47" w:rsidRPr="00E56594" w:rsidRDefault="00757B47" w:rsidP="00757B47">
            <w:pPr>
              <w:jc w:val="left"/>
              <w:rPr>
                <w:rFonts w:cs="Arial"/>
                <w:sz w:val="15"/>
                <w:szCs w:val="15"/>
                <w:lang w:val="de-DE"/>
              </w:rPr>
            </w:pPr>
            <w:r w:rsidRPr="00E56594">
              <w:rPr>
                <w:rFonts w:cs="Arial"/>
                <w:sz w:val="15"/>
                <w:szCs w:val="15"/>
                <w:lang w:val="de-DE"/>
              </w:rPr>
              <w:t>-</w:t>
            </w:r>
          </w:p>
        </w:tc>
        <w:tc>
          <w:tcPr>
            <w:tcW w:w="1554" w:type="dxa"/>
          </w:tcPr>
          <w:p w:rsidR="00757B47" w:rsidRPr="00E56594" w:rsidRDefault="00E46CC5" w:rsidP="00757B47">
            <w:pPr>
              <w:jc w:val="left"/>
              <w:rPr>
                <w:rFonts w:cs="Arial"/>
                <w:sz w:val="15"/>
                <w:szCs w:val="15"/>
                <w:lang w:val="de-DE"/>
              </w:rPr>
            </w:pPr>
            <w:r w:rsidRPr="00E56594">
              <w:rPr>
                <w:rFonts w:cs="Arial"/>
                <w:sz w:val="15"/>
                <w:szCs w:val="15"/>
                <w:lang w:val="de-DE"/>
              </w:rPr>
              <w:t>2</w:t>
            </w:r>
          </w:p>
        </w:tc>
        <w:tc>
          <w:tcPr>
            <w:tcW w:w="1554" w:type="dxa"/>
            <w:vMerge/>
          </w:tcPr>
          <w:p w:rsidR="00757B47" w:rsidRPr="00E56594" w:rsidRDefault="00757B47" w:rsidP="00757B47">
            <w:pPr>
              <w:jc w:val="left"/>
              <w:rPr>
                <w:rFonts w:cs="Arial"/>
                <w:sz w:val="15"/>
                <w:szCs w:val="15"/>
                <w:lang w:val="de-DE"/>
              </w:rPr>
            </w:pPr>
          </w:p>
        </w:tc>
        <w:tc>
          <w:tcPr>
            <w:tcW w:w="1554" w:type="dxa"/>
          </w:tcPr>
          <w:p w:rsidR="00757B47" w:rsidRPr="00E56594" w:rsidRDefault="00757B47" w:rsidP="00757B47">
            <w:pPr>
              <w:jc w:val="left"/>
              <w:rPr>
                <w:rFonts w:cs="Arial"/>
                <w:sz w:val="15"/>
                <w:szCs w:val="15"/>
                <w:lang w:val="de-DE"/>
              </w:rPr>
            </w:pPr>
            <w:r w:rsidRPr="00E56594">
              <w:rPr>
                <w:rFonts w:cs="Arial"/>
                <w:sz w:val="15"/>
                <w:szCs w:val="15"/>
                <w:lang w:val="de-DE"/>
              </w:rPr>
              <w:t>-</w:t>
            </w:r>
          </w:p>
        </w:tc>
      </w:tr>
      <w:tr w:rsidR="006313C2" w:rsidRPr="00E46CC5" w:rsidTr="00E46CC5">
        <w:trPr>
          <w:cantSplit/>
        </w:trPr>
        <w:tc>
          <w:tcPr>
            <w:tcW w:w="1668" w:type="dxa"/>
          </w:tcPr>
          <w:p w:rsidR="00757B47" w:rsidRPr="00E46CC5" w:rsidRDefault="00757B47" w:rsidP="00840953">
            <w:pPr>
              <w:jc w:val="left"/>
              <w:rPr>
                <w:rFonts w:cs="Arial"/>
                <w:sz w:val="15"/>
                <w:szCs w:val="15"/>
                <w:highlight w:val="yellow"/>
                <w:lang w:val="de-DE"/>
              </w:rPr>
            </w:pPr>
            <w:r w:rsidRPr="00E56594">
              <w:rPr>
                <w:rFonts w:cs="Arial"/>
                <w:sz w:val="15"/>
                <w:szCs w:val="15"/>
                <w:lang w:val="de-DE"/>
              </w:rPr>
              <w:t>Referenzperiode</w:t>
            </w:r>
          </w:p>
        </w:tc>
        <w:tc>
          <w:tcPr>
            <w:tcW w:w="1580" w:type="dxa"/>
          </w:tcPr>
          <w:p w:rsidR="003A70ED" w:rsidRDefault="003A70ED" w:rsidP="003A70ED">
            <w:pPr>
              <w:jc w:val="left"/>
              <w:rPr>
                <w:rFonts w:cs="Arial"/>
                <w:sz w:val="15"/>
                <w:szCs w:val="15"/>
                <w:lang w:val="de-DE"/>
              </w:rPr>
            </w:pPr>
            <w:r w:rsidRPr="007B4F34">
              <w:rPr>
                <w:rFonts w:cs="Arial"/>
                <w:sz w:val="15"/>
                <w:szCs w:val="15"/>
                <w:lang w:val="de-DE"/>
              </w:rPr>
              <w:t>1994-2014</w:t>
            </w:r>
            <w:r>
              <w:rPr>
                <w:rFonts w:cs="Arial"/>
                <w:sz w:val="15"/>
                <w:szCs w:val="15"/>
                <w:lang w:val="de-DE"/>
              </w:rPr>
              <w:t xml:space="preserve"> (hydr</w:t>
            </w:r>
            <w:r>
              <w:rPr>
                <w:rFonts w:cs="Arial"/>
                <w:sz w:val="15"/>
                <w:szCs w:val="15"/>
                <w:lang w:val="de-DE"/>
              </w:rPr>
              <w:t>o</w:t>
            </w:r>
            <w:r>
              <w:rPr>
                <w:rFonts w:cs="Arial"/>
                <w:sz w:val="15"/>
                <w:szCs w:val="15"/>
                <w:lang w:val="de-DE"/>
              </w:rPr>
              <w:t>logisches Jahr)</w:t>
            </w:r>
          </w:p>
          <w:p w:rsidR="007B4F34" w:rsidRPr="00E46CC5" w:rsidRDefault="007B4F34" w:rsidP="003A70ED">
            <w:pPr>
              <w:jc w:val="left"/>
              <w:rPr>
                <w:rFonts w:cs="Arial"/>
                <w:sz w:val="15"/>
                <w:szCs w:val="15"/>
                <w:highlight w:val="yellow"/>
                <w:lang w:val="de-DE"/>
              </w:rPr>
            </w:pPr>
          </w:p>
        </w:tc>
        <w:tc>
          <w:tcPr>
            <w:tcW w:w="1554" w:type="dxa"/>
          </w:tcPr>
          <w:p w:rsidR="00757B47" w:rsidRPr="00E56594" w:rsidRDefault="00757B47" w:rsidP="00E46CC5">
            <w:pPr>
              <w:jc w:val="left"/>
              <w:rPr>
                <w:rFonts w:cs="Arial"/>
                <w:sz w:val="15"/>
                <w:szCs w:val="15"/>
                <w:lang w:val="de-DE"/>
              </w:rPr>
            </w:pPr>
            <w:r w:rsidRPr="00E56594">
              <w:rPr>
                <w:rFonts w:cs="Arial"/>
                <w:sz w:val="15"/>
                <w:szCs w:val="15"/>
                <w:lang w:val="de-DE"/>
              </w:rPr>
              <w:t>1981-2010</w:t>
            </w:r>
            <w:r w:rsidR="00BE3DE3" w:rsidRPr="00E56594">
              <w:rPr>
                <w:rFonts w:cs="Arial"/>
                <w:sz w:val="15"/>
                <w:szCs w:val="15"/>
                <w:lang w:val="de-DE"/>
              </w:rPr>
              <w:t xml:space="preserve"> (Kale</w:t>
            </w:r>
            <w:r w:rsidR="00BE3DE3" w:rsidRPr="00E56594">
              <w:rPr>
                <w:rFonts w:cs="Arial"/>
                <w:sz w:val="15"/>
                <w:szCs w:val="15"/>
                <w:lang w:val="de-DE"/>
              </w:rPr>
              <w:t>n</w:t>
            </w:r>
            <w:r w:rsidR="00BE3DE3" w:rsidRPr="00E56594">
              <w:rPr>
                <w:rFonts w:cs="Arial"/>
                <w:sz w:val="15"/>
                <w:szCs w:val="15"/>
                <w:lang w:val="de-DE"/>
              </w:rPr>
              <w:t>derjahr)</w:t>
            </w:r>
          </w:p>
        </w:tc>
        <w:tc>
          <w:tcPr>
            <w:tcW w:w="1554" w:type="dxa"/>
          </w:tcPr>
          <w:p w:rsidR="00757B47" w:rsidRPr="00E56594" w:rsidRDefault="00757B47" w:rsidP="00757B47">
            <w:pPr>
              <w:jc w:val="left"/>
              <w:rPr>
                <w:rStyle w:val="Kommentarzeichen"/>
                <w:rFonts w:cs="Arial"/>
                <w:sz w:val="15"/>
                <w:szCs w:val="15"/>
                <w:lang w:val="de-DE"/>
              </w:rPr>
            </w:pPr>
            <w:r w:rsidRPr="00E56594">
              <w:rPr>
                <w:rFonts w:cs="Arial"/>
                <w:sz w:val="15"/>
                <w:szCs w:val="15"/>
                <w:lang w:val="de-DE"/>
              </w:rPr>
              <w:t>1981-2010</w:t>
            </w:r>
            <w:r w:rsidR="00BE3DE3" w:rsidRPr="00E56594">
              <w:rPr>
                <w:rFonts w:cs="Arial"/>
                <w:sz w:val="15"/>
                <w:szCs w:val="15"/>
                <w:lang w:val="de-DE"/>
              </w:rPr>
              <w:t xml:space="preserve"> (hydr</w:t>
            </w:r>
            <w:r w:rsidR="00BE3DE3" w:rsidRPr="00E56594">
              <w:rPr>
                <w:rFonts w:cs="Arial"/>
                <w:sz w:val="15"/>
                <w:szCs w:val="15"/>
                <w:lang w:val="de-DE"/>
              </w:rPr>
              <w:t>o</w:t>
            </w:r>
            <w:r w:rsidR="00BE3DE3" w:rsidRPr="00E56594">
              <w:rPr>
                <w:rFonts w:cs="Arial"/>
                <w:sz w:val="15"/>
                <w:szCs w:val="15"/>
                <w:lang w:val="de-DE"/>
              </w:rPr>
              <w:t>logisches Jahr)</w:t>
            </w:r>
          </w:p>
        </w:tc>
        <w:tc>
          <w:tcPr>
            <w:tcW w:w="1554" w:type="dxa"/>
          </w:tcPr>
          <w:p w:rsidR="00757B47" w:rsidRPr="00E56594" w:rsidRDefault="003A70ED" w:rsidP="00757B47">
            <w:pPr>
              <w:jc w:val="left"/>
              <w:rPr>
                <w:rFonts w:cs="Arial"/>
                <w:sz w:val="15"/>
                <w:szCs w:val="15"/>
                <w:lang w:val="de-DE"/>
              </w:rPr>
            </w:pPr>
            <w:r w:rsidRPr="003A70ED">
              <w:rPr>
                <w:rFonts w:cs="Arial"/>
                <w:sz w:val="15"/>
                <w:szCs w:val="15"/>
                <w:lang w:val="de-DE"/>
              </w:rPr>
              <w:t>ausgewertete Zei</w:t>
            </w:r>
            <w:r w:rsidRPr="003A70ED">
              <w:rPr>
                <w:rFonts w:cs="Arial"/>
                <w:sz w:val="15"/>
                <w:szCs w:val="15"/>
                <w:lang w:val="de-DE"/>
              </w:rPr>
              <w:t>t</w:t>
            </w:r>
            <w:r w:rsidRPr="003A70ED">
              <w:rPr>
                <w:rFonts w:cs="Arial"/>
                <w:sz w:val="15"/>
                <w:szCs w:val="15"/>
                <w:lang w:val="de-DE"/>
              </w:rPr>
              <w:t>reihe: 1965-2015 (hydrologisches Jahr)</w:t>
            </w:r>
          </w:p>
        </w:tc>
        <w:tc>
          <w:tcPr>
            <w:tcW w:w="1554" w:type="dxa"/>
          </w:tcPr>
          <w:p w:rsidR="00757B47" w:rsidRPr="00E56594" w:rsidRDefault="00757B47" w:rsidP="00757B47">
            <w:pPr>
              <w:jc w:val="left"/>
              <w:rPr>
                <w:rFonts w:cs="Arial"/>
                <w:sz w:val="15"/>
                <w:szCs w:val="15"/>
                <w:lang w:val="de-DE"/>
              </w:rPr>
            </w:pPr>
            <w:r w:rsidRPr="00E56594">
              <w:rPr>
                <w:rFonts w:cs="Arial"/>
                <w:sz w:val="15"/>
                <w:szCs w:val="15"/>
                <w:lang w:val="de-DE"/>
              </w:rPr>
              <w:t>1981-2010</w:t>
            </w:r>
            <w:r w:rsidR="00BE3DE3" w:rsidRPr="00E56594">
              <w:rPr>
                <w:rFonts w:cs="Arial"/>
                <w:sz w:val="15"/>
                <w:szCs w:val="15"/>
                <w:lang w:val="de-DE"/>
              </w:rPr>
              <w:t xml:space="preserve"> (Kale</w:t>
            </w:r>
            <w:r w:rsidR="00BE3DE3" w:rsidRPr="00E56594">
              <w:rPr>
                <w:rFonts w:cs="Arial"/>
                <w:sz w:val="15"/>
                <w:szCs w:val="15"/>
                <w:lang w:val="de-DE"/>
              </w:rPr>
              <w:t>n</w:t>
            </w:r>
            <w:r w:rsidR="00BE3DE3" w:rsidRPr="00E56594">
              <w:rPr>
                <w:rFonts w:cs="Arial"/>
                <w:sz w:val="15"/>
                <w:szCs w:val="15"/>
                <w:lang w:val="de-DE"/>
              </w:rPr>
              <w:t>derjahr)</w:t>
            </w:r>
          </w:p>
        </w:tc>
      </w:tr>
      <w:tr w:rsidR="006313C2" w:rsidRPr="00E46CC5" w:rsidTr="00E46CC5">
        <w:trPr>
          <w:cantSplit/>
        </w:trPr>
        <w:tc>
          <w:tcPr>
            <w:tcW w:w="1668" w:type="dxa"/>
          </w:tcPr>
          <w:p w:rsidR="00757B47" w:rsidRPr="00E46CC5" w:rsidRDefault="00757B47" w:rsidP="0056178E">
            <w:pPr>
              <w:rPr>
                <w:rFonts w:cs="Arial"/>
                <w:sz w:val="15"/>
                <w:szCs w:val="15"/>
                <w:highlight w:val="yellow"/>
                <w:lang w:val="de-DE"/>
              </w:rPr>
            </w:pPr>
            <w:r w:rsidRPr="00E56594">
              <w:rPr>
                <w:rFonts w:cs="Arial"/>
                <w:sz w:val="15"/>
                <w:szCs w:val="15"/>
                <w:lang w:val="de-DE"/>
              </w:rPr>
              <w:lastRenderedPageBreak/>
              <w:t>Bewertungskriterium</w:t>
            </w:r>
          </w:p>
        </w:tc>
        <w:tc>
          <w:tcPr>
            <w:tcW w:w="1580" w:type="dxa"/>
          </w:tcPr>
          <w:p w:rsidR="007B4F34" w:rsidRPr="00E46CC5" w:rsidRDefault="00757B47" w:rsidP="008C52DE">
            <w:pPr>
              <w:jc w:val="left"/>
              <w:rPr>
                <w:rFonts w:cs="Arial"/>
                <w:sz w:val="15"/>
                <w:szCs w:val="15"/>
                <w:highlight w:val="yellow"/>
                <w:lang w:val="de-DE"/>
              </w:rPr>
            </w:pPr>
            <w:r w:rsidRPr="00E56594">
              <w:rPr>
                <w:rFonts w:cs="Arial"/>
                <w:sz w:val="15"/>
                <w:szCs w:val="15"/>
                <w:lang w:val="de-DE"/>
              </w:rPr>
              <w:t xml:space="preserve">Abweichung der Monatsmittelwerte </w:t>
            </w:r>
            <w:r w:rsidRPr="007B4F34">
              <w:rPr>
                <w:rFonts w:cs="Arial"/>
                <w:sz w:val="15"/>
                <w:szCs w:val="15"/>
                <w:lang w:val="de-DE"/>
              </w:rPr>
              <w:t>Juni 2014 und Juni</w:t>
            </w:r>
            <w:r w:rsidRPr="00E56594">
              <w:rPr>
                <w:rFonts w:cs="Arial"/>
                <w:sz w:val="15"/>
                <w:szCs w:val="15"/>
                <w:lang w:val="de-DE"/>
              </w:rPr>
              <w:t xml:space="preserve"> 2015 vom langjähr</w:t>
            </w:r>
            <w:r w:rsidRPr="00E56594">
              <w:rPr>
                <w:rFonts w:cs="Arial"/>
                <w:sz w:val="15"/>
                <w:szCs w:val="15"/>
                <w:lang w:val="de-DE"/>
              </w:rPr>
              <w:t>i</w:t>
            </w:r>
            <w:r w:rsidRPr="00E56594">
              <w:rPr>
                <w:rFonts w:cs="Arial"/>
                <w:sz w:val="15"/>
                <w:szCs w:val="15"/>
                <w:lang w:val="de-DE"/>
              </w:rPr>
              <w:t>gen Juni-Mittelwert</w:t>
            </w:r>
            <w:r w:rsidR="008C52DE">
              <w:rPr>
                <w:rStyle w:val="Funotenzeichen"/>
                <w:rFonts w:cs="Arial"/>
                <w:sz w:val="15"/>
                <w:szCs w:val="15"/>
                <w:lang w:val="de-DE"/>
              </w:rPr>
              <w:footnoteReference w:id="1"/>
            </w:r>
          </w:p>
        </w:tc>
        <w:tc>
          <w:tcPr>
            <w:tcW w:w="1554" w:type="dxa"/>
          </w:tcPr>
          <w:p w:rsidR="00757B47" w:rsidRPr="00E56594" w:rsidRDefault="00757B47" w:rsidP="00757B47">
            <w:pPr>
              <w:jc w:val="left"/>
              <w:rPr>
                <w:rFonts w:cs="Arial"/>
                <w:sz w:val="15"/>
                <w:szCs w:val="15"/>
                <w:lang w:val="de-DE"/>
              </w:rPr>
            </w:pPr>
            <w:r w:rsidRPr="00E56594">
              <w:rPr>
                <w:rFonts w:cs="Arial"/>
                <w:sz w:val="15"/>
                <w:szCs w:val="15"/>
                <w:lang w:val="de-DE"/>
              </w:rPr>
              <w:t>Abweichung der Grundwasserstä</w:t>
            </w:r>
            <w:r w:rsidRPr="00E56594">
              <w:rPr>
                <w:rFonts w:cs="Arial"/>
                <w:sz w:val="15"/>
                <w:szCs w:val="15"/>
                <w:lang w:val="de-DE"/>
              </w:rPr>
              <w:t>n</w:t>
            </w:r>
            <w:r w:rsidRPr="00E56594">
              <w:rPr>
                <w:rFonts w:cs="Arial"/>
                <w:sz w:val="15"/>
                <w:szCs w:val="15"/>
                <w:lang w:val="de-DE"/>
              </w:rPr>
              <w:t>de von Normalwe</w:t>
            </w:r>
            <w:r w:rsidRPr="00E56594">
              <w:rPr>
                <w:rFonts w:cs="Arial"/>
                <w:sz w:val="15"/>
                <w:szCs w:val="15"/>
                <w:lang w:val="de-DE"/>
              </w:rPr>
              <w:t>r</w:t>
            </w:r>
            <w:r w:rsidRPr="00E56594">
              <w:rPr>
                <w:rFonts w:cs="Arial"/>
                <w:sz w:val="15"/>
                <w:szCs w:val="15"/>
                <w:lang w:val="de-DE"/>
              </w:rPr>
              <w:t xml:space="preserve">ten (Klassifizierung der </w:t>
            </w:r>
            <w:proofErr w:type="spellStart"/>
            <w:r w:rsidRPr="00E56594">
              <w:rPr>
                <w:rFonts w:cs="Arial"/>
                <w:sz w:val="15"/>
                <w:szCs w:val="15"/>
                <w:lang w:val="de-DE"/>
              </w:rPr>
              <w:t>Perzentilwerte</w:t>
            </w:r>
            <w:proofErr w:type="spellEnd"/>
            <w:r w:rsidRPr="00E56594">
              <w:rPr>
                <w:rFonts w:cs="Arial"/>
                <w:sz w:val="15"/>
                <w:szCs w:val="15"/>
                <w:lang w:val="de-DE"/>
              </w:rPr>
              <w:t xml:space="preserve">): </w:t>
            </w:r>
          </w:p>
          <w:p w:rsidR="00757B47" w:rsidRPr="00E56594" w:rsidRDefault="00757B47" w:rsidP="00757B47">
            <w:pPr>
              <w:jc w:val="left"/>
              <w:rPr>
                <w:rFonts w:cs="Arial"/>
                <w:sz w:val="15"/>
                <w:szCs w:val="15"/>
                <w:lang w:val="de-DE"/>
              </w:rPr>
            </w:pPr>
            <w:r w:rsidRPr="00E56594">
              <w:rPr>
                <w:rFonts w:cs="Arial"/>
                <w:sz w:val="15"/>
                <w:szCs w:val="15"/>
                <w:lang w:val="de-DE"/>
              </w:rPr>
              <w:t>&lt;P5</w:t>
            </w:r>
            <w:r w:rsidR="00E46CC5" w:rsidRPr="00E56594">
              <w:rPr>
                <w:rFonts w:cs="Arial"/>
                <w:sz w:val="15"/>
                <w:szCs w:val="15"/>
                <w:lang w:val="de-DE"/>
              </w:rPr>
              <w:t xml:space="preserve"> </w:t>
            </w:r>
            <w:r w:rsidRPr="00E56594">
              <w:rPr>
                <w:rFonts w:cs="Arial"/>
                <w:sz w:val="15"/>
                <w:szCs w:val="15"/>
                <w:lang w:val="de-DE"/>
              </w:rPr>
              <w:t xml:space="preserve">= </w:t>
            </w:r>
            <w:r w:rsidRPr="00E56594">
              <w:rPr>
                <w:rFonts w:cs="Arial"/>
                <w:sz w:val="15"/>
                <w:szCs w:val="15"/>
                <w:highlight w:val="yellow"/>
                <w:lang w:val="de-DE"/>
              </w:rPr>
              <w:t>NW</w:t>
            </w:r>
            <w:r w:rsidRPr="00E56594">
              <w:rPr>
                <w:rFonts w:cs="Arial"/>
                <w:sz w:val="15"/>
                <w:szCs w:val="15"/>
                <w:lang w:val="de-DE"/>
              </w:rPr>
              <w:t xml:space="preserve"> extrem</w:t>
            </w:r>
          </w:p>
          <w:p w:rsidR="00757B47" w:rsidRPr="00E56594" w:rsidRDefault="00757B47" w:rsidP="00757B47">
            <w:pPr>
              <w:jc w:val="left"/>
              <w:rPr>
                <w:rFonts w:cs="Arial"/>
                <w:sz w:val="15"/>
                <w:szCs w:val="15"/>
                <w:lang w:val="de-DE"/>
              </w:rPr>
            </w:pPr>
            <w:r w:rsidRPr="00E56594">
              <w:rPr>
                <w:rFonts w:cs="Arial"/>
                <w:sz w:val="15"/>
                <w:szCs w:val="15"/>
                <w:lang w:val="de-DE"/>
              </w:rPr>
              <w:t>P5-P15</w:t>
            </w:r>
            <w:r w:rsidR="00E46CC5" w:rsidRPr="00E56594">
              <w:rPr>
                <w:rFonts w:cs="Arial"/>
                <w:sz w:val="15"/>
                <w:szCs w:val="15"/>
                <w:lang w:val="de-DE"/>
              </w:rPr>
              <w:t xml:space="preserve"> </w:t>
            </w:r>
            <w:r w:rsidRPr="00E56594">
              <w:rPr>
                <w:rFonts w:cs="Arial"/>
                <w:sz w:val="15"/>
                <w:szCs w:val="15"/>
                <w:lang w:val="de-DE"/>
              </w:rPr>
              <w:t>=</w:t>
            </w:r>
            <w:r w:rsidR="00E46CC5" w:rsidRPr="00E56594">
              <w:rPr>
                <w:rFonts w:cs="Arial"/>
                <w:sz w:val="15"/>
                <w:szCs w:val="15"/>
                <w:lang w:val="de-DE"/>
              </w:rPr>
              <w:t xml:space="preserve"> </w:t>
            </w:r>
            <w:r w:rsidRPr="00E56594">
              <w:rPr>
                <w:rFonts w:cs="Arial"/>
                <w:sz w:val="15"/>
                <w:szCs w:val="15"/>
                <w:highlight w:val="yellow"/>
                <w:lang w:val="de-DE"/>
              </w:rPr>
              <w:t>NW</w:t>
            </w:r>
            <w:r w:rsidRPr="00E56594">
              <w:rPr>
                <w:rFonts w:cs="Arial"/>
                <w:sz w:val="15"/>
                <w:szCs w:val="15"/>
                <w:lang w:val="de-DE"/>
              </w:rPr>
              <w:t xml:space="preserve"> stark</w:t>
            </w:r>
          </w:p>
          <w:p w:rsidR="00757B47" w:rsidRPr="00E56594" w:rsidRDefault="00BE3DE3" w:rsidP="00757B47">
            <w:pPr>
              <w:jc w:val="left"/>
              <w:rPr>
                <w:rFonts w:cs="Arial"/>
                <w:sz w:val="15"/>
                <w:szCs w:val="15"/>
                <w:lang w:val="de-DE"/>
              </w:rPr>
            </w:pPr>
            <w:r w:rsidRPr="00E56594">
              <w:rPr>
                <w:rFonts w:cs="Arial"/>
                <w:sz w:val="15"/>
                <w:szCs w:val="15"/>
                <w:lang w:val="de-DE"/>
              </w:rPr>
              <w:t>&gt;</w:t>
            </w:r>
            <w:r w:rsidR="00757B47" w:rsidRPr="00E56594">
              <w:rPr>
                <w:rFonts w:cs="Arial"/>
                <w:sz w:val="15"/>
                <w:szCs w:val="15"/>
                <w:lang w:val="de-DE"/>
              </w:rPr>
              <w:t>P15-P25</w:t>
            </w:r>
            <w:r w:rsidR="00E46CC5" w:rsidRPr="00E56594">
              <w:rPr>
                <w:rFonts w:cs="Arial"/>
                <w:sz w:val="15"/>
                <w:szCs w:val="15"/>
                <w:lang w:val="de-DE"/>
              </w:rPr>
              <w:t xml:space="preserve"> </w:t>
            </w:r>
            <w:r w:rsidR="00757B47" w:rsidRPr="00E56594">
              <w:rPr>
                <w:rFonts w:cs="Arial"/>
                <w:sz w:val="15"/>
                <w:szCs w:val="15"/>
                <w:lang w:val="de-DE"/>
              </w:rPr>
              <w:t>=</w:t>
            </w:r>
            <w:r w:rsidR="00E46CC5" w:rsidRPr="00E56594">
              <w:rPr>
                <w:rFonts w:cs="Arial"/>
                <w:sz w:val="15"/>
                <w:szCs w:val="15"/>
                <w:lang w:val="de-DE"/>
              </w:rPr>
              <w:t xml:space="preserve"> </w:t>
            </w:r>
            <w:commentRangeStart w:id="1"/>
            <w:r w:rsidR="00757B47" w:rsidRPr="00E56594">
              <w:rPr>
                <w:rFonts w:cs="Arial"/>
                <w:sz w:val="15"/>
                <w:szCs w:val="15"/>
                <w:highlight w:val="yellow"/>
                <w:lang w:val="de-DE"/>
              </w:rPr>
              <w:t>NW</w:t>
            </w:r>
            <w:commentRangeEnd w:id="1"/>
            <w:r w:rsidR="00EA32FA">
              <w:rPr>
                <w:rStyle w:val="Kommentarzeichen"/>
              </w:rPr>
              <w:commentReference w:id="1"/>
            </w:r>
            <w:r w:rsidR="00757B47" w:rsidRPr="00E56594">
              <w:rPr>
                <w:rFonts w:cs="Arial"/>
                <w:sz w:val="15"/>
                <w:szCs w:val="15"/>
                <w:lang w:val="de-DE"/>
              </w:rPr>
              <w:t xml:space="preserve"> mäßig</w:t>
            </w:r>
          </w:p>
          <w:p w:rsidR="00757B47" w:rsidRPr="00E56594" w:rsidRDefault="00BE3DE3" w:rsidP="00757B47">
            <w:pPr>
              <w:jc w:val="left"/>
              <w:rPr>
                <w:rFonts w:cs="Arial"/>
                <w:sz w:val="15"/>
                <w:szCs w:val="15"/>
                <w:lang w:val="de-DE"/>
              </w:rPr>
            </w:pPr>
            <w:r w:rsidRPr="00E56594">
              <w:rPr>
                <w:rFonts w:cs="Arial"/>
                <w:sz w:val="15"/>
                <w:szCs w:val="15"/>
                <w:lang w:val="de-DE"/>
              </w:rPr>
              <w:t>&gt;</w:t>
            </w:r>
            <w:r w:rsidR="00757B47" w:rsidRPr="00E56594">
              <w:rPr>
                <w:rFonts w:cs="Arial"/>
                <w:sz w:val="15"/>
                <w:szCs w:val="15"/>
                <w:lang w:val="de-DE"/>
              </w:rPr>
              <w:t>P25-P75</w:t>
            </w:r>
            <w:r w:rsidR="00E46CC5" w:rsidRPr="00E56594">
              <w:rPr>
                <w:rFonts w:cs="Arial"/>
                <w:sz w:val="15"/>
                <w:szCs w:val="15"/>
                <w:lang w:val="de-DE"/>
              </w:rPr>
              <w:t xml:space="preserve"> </w:t>
            </w:r>
            <w:r w:rsidR="00757B47" w:rsidRPr="00E56594">
              <w:rPr>
                <w:rFonts w:cs="Arial"/>
                <w:sz w:val="15"/>
                <w:szCs w:val="15"/>
                <w:lang w:val="de-DE"/>
              </w:rPr>
              <w:t>=</w:t>
            </w:r>
            <w:r w:rsidR="00E46CC5" w:rsidRPr="00E56594">
              <w:rPr>
                <w:rFonts w:cs="Arial"/>
                <w:sz w:val="15"/>
                <w:szCs w:val="15"/>
                <w:lang w:val="de-DE"/>
              </w:rPr>
              <w:t xml:space="preserve"> </w:t>
            </w:r>
            <w:r w:rsidR="00757B47" w:rsidRPr="00E56594">
              <w:rPr>
                <w:rFonts w:cs="Arial"/>
                <w:sz w:val="15"/>
                <w:szCs w:val="15"/>
                <w:lang w:val="de-DE"/>
              </w:rPr>
              <w:t>normal</w:t>
            </w:r>
          </w:p>
        </w:tc>
        <w:tc>
          <w:tcPr>
            <w:tcW w:w="1554" w:type="dxa"/>
          </w:tcPr>
          <w:p w:rsidR="00757B47" w:rsidRPr="00E56594" w:rsidRDefault="006313C2" w:rsidP="00757B47">
            <w:pPr>
              <w:jc w:val="left"/>
              <w:rPr>
                <w:rFonts w:cs="Arial"/>
                <w:sz w:val="15"/>
                <w:szCs w:val="15"/>
                <w:lang w:val="de-DE"/>
              </w:rPr>
            </w:pPr>
            <w:r w:rsidRPr="00E56594">
              <w:rPr>
                <w:rFonts w:cs="Arial"/>
                <w:sz w:val="15"/>
                <w:szCs w:val="15"/>
                <w:lang w:val="de-DE"/>
              </w:rPr>
              <w:t>Abweichungen der Grundwasserstä</w:t>
            </w:r>
            <w:r w:rsidRPr="00E56594">
              <w:rPr>
                <w:rFonts w:cs="Arial"/>
                <w:sz w:val="15"/>
                <w:szCs w:val="15"/>
                <w:lang w:val="de-DE"/>
              </w:rPr>
              <w:t>n</w:t>
            </w:r>
            <w:r w:rsidRPr="00E56594">
              <w:rPr>
                <w:rFonts w:cs="Arial"/>
                <w:sz w:val="15"/>
                <w:szCs w:val="15"/>
                <w:lang w:val="de-DE"/>
              </w:rPr>
              <w:t>de von Normalwe</w:t>
            </w:r>
            <w:r w:rsidRPr="00E56594">
              <w:rPr>
                <w:rFonts w:cs="Arial"/>
                <w:sz w:val="15"/>
                <w:szCs w:val="15"/>
                <w:lang w:val="de-DE"/>
              </w:rPr>
              <w:t>r</w:t>
            </w:r>
            <w:r w:rsidRPr="00E56594">
              <w:rPr>
                <w:rFonts w:cs="Arial"/>
                <w:sz w:val="15"/>
                <w:szCs w:val="15"/>
                <w:lang w:val="de-DE"/>
              </w:rPr>
              <w:t xml:space="preserve">ten (Klassifizierung der </w:t>
            </w:r>
            <w:proofErr w:type="spellStart"/>
            <w:r w:rsidR="00BE3DE3" w:rsidRPr="00E56594">
              <w:rPr>
                <w:rFonts w:cs="Arial"/>
                <w:sz w:val="15"/>
                <w:szCs w:val="15"/>
                <w:lang w:val="de-DE"/>
              </w:rPr>
              <w:t>Perzentilwerte</w:t>
            </w:r>
            <w:proofErr w:type="spellEnd"/>
            <w:r w:rsidRPr="00E56594">
              <w:rPr>
                <w:rFonts w:cs="Arial"/>
                <w:sz w:val="15"/>
                <w:szCs w:val="15"/>
                <w:lang w:val="de-DE"/>
              </w:rPr>
              <w:t>)</w:t>
            </w:r>
            <w:r w:rsidR="00757B47" w:rsidRPr="00E56594">
              <w:rPr>
                <w:rFonts w:cs="Arial"/>
                <w:sz w:val="15"/>
                <w:szCs w:val="15"/>
                <w:lang w:val="de-DE"/>
              </w:rPr>
              <w:t>:</w:t>
            </w:r>
          </w:p>
          <w:p w:rsidR="00BE3DE3" w:rsidRPr="00E56594" w:rsidRDefault="00BE3DE3" w:rsidP="00BE3DE3">
            <w:pPr>
              <w:jc w:val="left"/>
              <w:rPr>
                <w:rFonts w:cs="Arial"/>
                <w:sz w:val="15"/>
                <w:szCs w:val="15"/>
                <w:lang w:val="de-DE"/>
              </w:rPr>
            </w:pPr>
            <w:r w:rsidRPr="00E56594">
              <w:rPr>
                <w:rFonts w:cs="Arial"/>
                <w:sz w:val="15"/>
                <w:szCs w:val="15"/>
                <w:lang w:val="de-DE"/>
              </w:rPr>
              <w:t>&lt;P5</w:t>
            </w:r>
            <w:r w:rsidR="00E46CC5" w:rsidRPr="00E56594">
              <w:rPr>
                <w:rFonts w:cs="Arial"/>
                <w:sz w:val="15"/>
                <w:szCs w:val="15"/>
                <w:lang w:val="de-DE"/>
              </w:rPr>
              <w:t xml:space="preserve"> </w:t>
            </w:r>
            <w:r w:rsidRPr="00E56594">
              <w:rPr>
                <w:rFonts w:cs="Arial"/>
                <w:sz w:val="15"/>
                <w:szCs w:val="15"/>
                <w:lang w:val="de-DE"/>
              </w:rPr>
              <w:t xml:space="preserve">= </w:t>
            </w:r>
            <w:r w:rsidRPr="00E56594">
              <w:rPr>
                <w:rFonts w:cs="Arial"/>
                <w:sz w:val="15"/>
                <w:szCs w:val="15"/>
                <w:highlight w:val="yellow"/>
                <w:lang w:val="de-DE"/>
              </w:rPr>
              <w:t>NW</w:t>
            </w:r>
            <w:r w:rsidRPr="00E56594">
              <w:rPr>
                <w:rFonts w:cs="Arial"/>
                <w:sz w:val="15"/>
                <w:szCs w:val="15"/>
                <w:lang w:val="de-DE"/>
              </w:rPr>
              <w:t xml:space="preserve"> extrem</w:t>
            </w:r>
          </w:p>
          <w:p w:rsidR="00BE3DE3" w:rsidRPr="00E56594" w:rsidRDefault="00BE3DE3" w:rsidP="00BE3DE3">
            <w:pPr>
              <w:jc w:val="left"/>
              <w:rPr>
                <w:rFonts w:cs="Arial"/>
                <w:sz w:val="15"/>
                <w:szCs w:val="15"/>
                <w:lang w:val="de-DE"/>
              </w:rPr>
            </w:pPr>
            <w:r w:rsidRPr="00E56594">
              <w:rPr>
                <w:rFonts w:cs="Arial"/>
                <w:sz w:val="15"/>
                <w:szCs w:val="15"/>
                <w:lang w:val="de-DE"/>
              </w:rPr>
              <w:t>P5-P25</w:t>
            </w:r>
            <w:r w:rsidR="00E46CC5" w:rsidRPr="00E56594">
              <w:rPr>
                <w:rFonts w:cs="Arial"/>
                <w:sz w:val="15"/>
                <w:szCs w:val="15"/>
                <w:lang w:val="de-DE"/>
              </w:rPr>
              <w:t xml:space="preserve"> </w:t>
            </w:r>
            <w:r w:rsidRPr="00E56594">
              <w:rPr>
                <w:rFonts w:cs="Arial"/>
                <w:sz w:val="15"/>
                <w:szCs w:val="15"/>
                <w:lang w:val="de-DE"/>
              </w:rPr>
              <w:t xml:space="preserve">= </w:t>
            </w:r>
            <w:r w:rsidRPr="00E56594">
              <w:rPr>
                <w:rFonts w:cs="Arial"/>
                <w:sz w:val="15"/>
                <w:szCs w:val="15"/>
                <w:highlight w:val="yellow"/>
                <w:lang w:val="de-DE"/>
              </w:rPr>
              <w:t>NW</w:t>
            </w:r>
            <w:r w:rsidRPr="00E56594">
              <w:rPr>
                <w:rFonts w:cs="Arial"/>
                <w:sz w:val="15"/>
                <w:szCs w:val="15"/>
                <w:lang w:val="de-DE"/>
              </w:rPr>
              <w:t xml:space="preserve"> stark bis mäßig</w:t>
            </w:r>
          </w:p>
          <w:p w:rsidR="00757B47" w:rsidRPr="00E56594" w:rsidRDefault="00BE3DE3" w:rsidP="00757B47">
            <w:pPr>
              <w:jc w:val="left"/>
              <w:rPr>
                <w:rFonts w:cs="Arial"/>
                <w:sz w:val="15"/>
                <w:szCs w:val="15"/>
                <w:lang w:val="de-DE"/>
              </w:rPr>
            </w:pPr>
            <w:r w:rsidRPr="00E56594">
              <w:rPr>
                <w:rFonts w:cs="Arial"/>
                <w:sz w:val="15"/>
                <w:szCs w:val="15"/>
                <w:lang w:val="de-DE"/>
              </w:rPr>
              <w:t>&gt;P25-P75</w:t>
            </w:r>
            <w:r w:rsidR="00E46CC5" w:rsidRPr="00E56594">
              <w:rPr>
                <w:rFonts w:cs="Arial"/>
                <w:sz w:val="15"/>
                <w:szCs w:val="15"/>
                <w:lang w:val="de-DE"/>
              </w:rPr>
              <w:t xml:space="preserve"> </w:t>
            </w:r>
            <w:r w:rsidRPr="00E56594">
              <w:rPr>
                <w:rFonts w:cs="Arial"/>
                <w:sz w:val="15"/>
                <w:szCs w:val="15"/>
                <w:lang w:val="de-DE"/>
              </w:rPr>
              <w:t>=</w:t>
            </w:r>
            <w:r w:rsidR="00E46CC5" w:rsidRPr="00E56594">
              <w:rPr>
                <w:rFonts w:cs="Arial"/>
                <w:sz w:val="15"/>
                <w:szCs w:val="15"/>
                <w:lang w:val="de-DE"/>
              </w:rPr>
              <w:t xml:space="preserve"> </w:t>
            </w:r>
            <w:r w:rsidRPr="00E56594">
              <w:rPr>
                <w:rFonts w:cs="Arial"/>
                <w:sz w:val="15"/>
                <w:szCs w:val="15"/>
                <w:lang w:val="de-DE"/>
              </w:rPr>
              <w:t>normal</w:t>
            </w:r>
          </w:p>
        </w:tc>
        <w:tc>
          <w:tcPr>
            <w:tcW w:w="1554" w:type="dxa"/>
          </w:tcPr>
          <w:p w:rsidR="00757B47" w:rsidRPr="00EA066F" w:rsidRDefault="00757B47" w:rsidP="00757B47">
            <w:pPr>
              <w:jc w:val="left"/>
              <w:rPr>
                <w:rFonts w:cs="Arial"/>
                <w:sz w:val="15"/>
                <w:szCs w:val="15"/>
                <w:lang w:val="de-DE"/>
              </w:rPr>
            </w:pPr>
            <w:r w:rsidRPr="00E56594">
              <w:rPr>
                <w:rFonts w:cs="Arial"/>
                <w:sz w:val="15"/>
                <w:szCs w:val="15"/>
                <w:lang w:val="de-DE"/>
              </w:rPr>
              <w:t xml:space="preserve">Anteil Messstellen in 2015 mit </w:t>
            </w:r>
            <w:r w:rsidR="00BE3DE3" w:rsidRPr="00E56594">
              <w:rPr>
                <w:rFonts w:cs="Arial"/>
                <w:sz w:val="15"/>
                <w:szCs w:val="15"/>
                <w:lang w:val="de-DE"/>
              </w:rPr>
              <w:t>nie</w:t>
            </w:r>
            <w:r w:rsidR="00BE3DE3" w:rsidRPr="00E56594">
              <w:rPr>
                <w:rFonts w:cs="Arial"/>
                <w:sz w:val="15"/>
                <w:szCs w:val="15"/>
                <w:lang w:val="de-DE"/>
              </w:rPr>
              <w:t>d</w:t>
            </w:r>
            <w:r w:rsidR="00BE3DE3" w:rsidRPr="00E56594">
              <w:rPr>
                <w:rFonts w:cs="Arial"/>
                <w:sz w:val="15"/>
                <w:szCs w:val="15"/>
                <w:lang w:val="de-DE"/>
              </w:rPr>
              <w:t>rigstem Wasse</w:t>
            </w:r>
            <w:r w:rsidR="00BE3DE3" w:rsidRPr="00E56594">
              <w:rPr>
                <w:rFonts w:cs="Arial"/>
                <w:sz w:val="15"/>
                <w:szCs w:val="15"/>
                <w:lang w:val="de-DE"/>
              </w:rPr>
              <w:t>r</w:t>
            </w:r>
            <w:r w:rsidR="00BE3DE3" w:rsidRPr="00E56594">
              <w:rPr>
                <w:rFonts w:cs="Arial"/>
                <w:sz w:val="15"/>
                <w:szCs w:val="15"/>
                <w:lang w:val="de-DE"/>
              </w:rPr>
              <w:t>stand</w:t>
            </w:r>
            <w:r w:rsidRPr="00E56594">
              <w:rPr>
                <w:rFonts w:cs="Arial"/>
                <w:sz w:val="15"/>
                <w:szCs w:val="15"/>
                <w:lang w:val="de-DE"/>
              </w:rPr>
              <w:t xml:space="preserve">, bezogen auf alle Messstellen mit </w:t>
            </w:r>
            <w:r w:rsidR="005B7933" w:rsidRPr="00EA066F">
              <w:rPr>
                <w:rFonts w:cs="Arial"/>
                <w:sz w:val="15"/>
                <w:szCs w:val="15"/>
                <w:lang w:val="de-DE"/>
              </w:rPr>
              <w:t>einem Unters</w:t>
            </w:r>
            <w:r w:rsidR="005B7933" w:rsidRPr="00EA066F">
              <w:rPr>
                <w:rFonts w:cs="Arial"/>
                <w:sz w:val="15"/>
                <w:szCs w:val="15"/>
                <w:lang w:val="de-DE"/>
              </w:rPr>
              <w:t>u</w:t>
            </w:r>
            <w:r w:rsidR="005B7933" w:rsidRPr="00EA066F">
              <w:rPr>
                <w:rFonts w:cs="Arial"/>
                <w:sz w:val="15"/>
                <w:szCs w:val="15"/>
                <w:lang w:val="de-DE"/>
              </w:rPr>
              <w:t xml:space="preserve">chungsumfang von </w:t>
            </w:r>
            <w:r w:rsidRPr="00EA066F">
              <w:rPr>
                <w:rFonts w:cs="Arial"/>
                <w:sz w:val="15"/>
                <w:szCs w:val="15"/>
                <w:lang w:val="de-DE"/>
              </w:rPr>
              <w:t>mehr als fünf vol</w:t>
            </w:r>
            <w:r w:rsidRPr="00EA066F">
              <w:rPr>
                <w:rFonts w:cs="Arial"/>
                <w:sz w:val="15"/>
                <w:szCs w:val="15"/>
                <w:lang w:val="de-DE"/>
              </w:rPr>
              <w:t>l</w:t>
            </w:r>
            <w:r w:rsidRPr="00EA066F">
              <w:rPr>
                <w:rFonts w:cs="Arial"/>
                <w:sz w:val="15"/>
                <w:szCs w:val="15"/>
                <w:lang w:val="de-DE"/>
              </w:rPr>
              <w:t>ständigen Abflus</w:t>
            </w:r>
            <w:r w:rsidRPr="00EA066F">
              <w:rPr>
                <w:rFonts w:cs="Arial"/>
                <w:sz w:val="15"/>
                <w:szCs w:val="15"/>
                <w:lang w:val="de-DE"/>
              </w:rPr>
              <w:t>s</w:t>
            </w:r>
            <w:r w:rsidRPr="00EA066F">
              <w:rPr>
                <w:rFonts w:cs="Arial"/>
                <w:sz w:val="15"/>
                <w:szCs w:val="15"/>
                <w:lang w:val="de-DE"/>
              </w:rPr>
              <w:t>jahren:</w:t>
            </w:r>
          </w:p>
          <w:p w:rsidR="00757B47" w:rsidRPr="00E46CC5" w:rsidRDefault="00DE19A1" w:rsidP="00757B47">
            <w:pPr>
              <w:jc w:val="left"/>
              <w:rPr>
                <w:rFonts w:cs="Arial"/>
                <w:sz w:val="15"/>
                <w:szCs w:val="15"/>
                <w:highlight w:val="yellow"/>
                <w:lang w:val="de-DE"/>
              </w:rPr>
            </w:pPr>
            <w:r w:rsidRPr="00E56594">
              <w:rPr>
                <w:rFonts w:cs="Arial"/>
                <w:sz w:val="15"/>
                <w:szCs w:val="15"/>
                <w:lang w:val="de-DE"/>
              </w:rPr>
              <w:t>&lt;2% Extrem</w:t>
            </w:r>
            <w:r w:rsidR="00757B47" w:rsidRPr="00E56594">
              <w:rPr>
                <w:rFonts w:cs="Arial"/>
                <w:sz w:val="15"/>
                <w:szCs w:val="15"/>
                <w:lang w:val="de-DE"/>
              </w:rPr>
              <w:t>werte: Normaljahre</w:t>
            </w:r>
          </w:p>
        </w:tc>
        <w:tc>
          <w:tcPr>
            <w:tcW w:w="1554" w:type="dxa"/>
          </w:tcPr>
          <w:p w:rsidR="00757B47" w:rsidRPr="00E56594" w:rsidRDefault="00757B47" w:rsidP="00757B47">
            <w:pPr>
              <w:jc w:val="left"/>
              <w:rPr>
                <w:rFonts w:cs="Arial"/>
                <w:sz w:val="15"/>
                <w:szCs w:val="15"/>
                <w:lang w:val="de-DE"/>
              </w:rPr>
            </w:pPr>
            <w:r w:rsidRPr="00E56594">
              <w:rPr>
                <w:rFonts w:cs="Arial"/>
                <w:sz w:val="15"/>
                <w:szCs w:val="15"/>
                <w:lang w:val="de-DE"/>
              </w:rPr>
              <w:t>Abweichung der Grundwasserstä</w:t>
            </w:r>
            <w:r w:rsidRPr="00E56594">
              <w:rPr>
                <w:rFonts w:cs="Arial"/>
                <w:sz w:val="15"/>
                <w:szCs w:val="15"/>
                <w:lang w:val="de-DE"/>
              </w:rPr>
              <w:t>n</w:t>
            </w:r>
            <w:r w:rsidRPr="00E56594">
              <w:rPr>
                <w:rFonts w:cs="Arial"/>
                <w:sz w:val="15"/>
                <w:szCs w:val="15"/>
                <w:lang w:val="de-DE"/>
              </w:rPr>
              <w:t>de von Normalwe</w:t>
            </w:r>
            <w:r w:rsidRPr="00E56594">
              <w:rPr>
                <w:rFonts w:cs="Arial"/>
                <w:sz w:val="15"/>
                <w:szCs w:val="15"/>
                <w:lang w:val="de-DE"/>
              </w:rPr>
              <w:t>r</w:t>
            </w:r>
            <w:r w:rsidRPr="00E56594">
              <w:rPr>
                <w:rFonts w:cs="Arial"/>
                <w:sz w:val="15"/>
                <w:szCs w:val="15"/>
                <w:lang w:val="de-DE"/>
              </w:rPr>
              <w:t xml:space="preserve">ten (Klassifizierung der </w:t>
            </w:r>
            <w:proofErr w:type="spellStart"/>
            <w:r w:rsidRPr="00E56594">
              <w:rPr>
                <w:rFonts w:cs="Arial"/>
                <w:sz w:val="15"/>
                <w:szCs w:val="15"/>
                <w:lang w:val="de-DE"/>
              </w:rPr>
              <w:t>Perzentilwerte</w:t>
            </w:r>
            <w:proofErr w:type="spellEnd"/>
            <w:r w:rsidRPr="00E56594">
              <w:rPr>
                <w:rFonts w:cs="Arial"/>
                <w:sz w:val="15"/>
                <w:szCs w:val="15"/>
                <w:lang w:val="de-DE"/>
              </w:rPr>
              <w:t xml:space="preserve">): </w:t>
            </w:r>
          </w:p>
          <w:p w:rsidR="00757B47" w:rsidRPr="00E56594" w:rsidRDefault="00757B47" w:rsidP="00757B47">
            <w:pPr>
              <w:jc w:val="left"/>
              <w:rPr>
                <w:rFonts w:cs="Arial"/>
                <w:sz w:val="15"/>
                <w:szCs w:val="15"/>
                <w:lang w:val="de-DE"/>
              </w:rPr>
            </w:pPr>
            <w:r w:rsidRPr="00E56594">
              <w:rPr>
                <w:rFonts w:cs="Arial"/>
                <w:sz w:val="15"/>
                <w:szCs w:val="15"/>
                <w:lang w:val="de-DE"/>
              </w:rPr>
              <w:t>&lt;P5</w:t>
            </w:r>
            <w:r w:rsidR="00AF0CB0" w:rsidRPr="00E56594">
              <w:rPr>
                <w:rFonts w:cs="Arial"/>
                <w:sz w:val="15"/>
                <w:szCs w:val="15"/>
                <w:lang w:val="de-DE"/>
              </w:rPr>
              <w:t xml:space="preserve"> </w:t>
            </w:r>
            <w:r w:rsidRPr="00E56594">
              <w:rPr>
                <w:rFonts w:cs="Arial"/>
                <w:sz w:val="15"/>
                <w:szCs w:val="15"/>
                <w:lang w:val="de-DE"/>
              </w:rPr>
              <w:t xml:space="preserve">= </w:t>
            </w:r>
            <w:r w:rsidRPr="00E56594">
              <w:rPr>
                <w:rFonts w:cs="Arial"/>
                <w:sz w:val="15"/>
                <w:szCs w:val="15"/>
                <w:highlight w:val="yellow"/>
                <w:lang w:val="de-DE"/>
              </w:rPr>
              <w:t>NW</w:t>
            </w:r>
            <w:r w:rsidRPr="00E56594">
              <w:rPr>
                <w:rFonts w:cs="Arial"/>
                <w:sz w:val="15"/>
                <w:szCs w:val="15"/>
                <w:lang w:val="de-DE"/>
              </w:rPr>
              <w:t xml:space="preserve"> extrem</w:t>
            </w:r>
          </w:p>
          <w:p w:rsidR="00757B47" w:rsidRPr="00E56594" w:rsidRDefault="00757B47" w:rsidP="00757B47">
            <w:pPr>
              <w:jc w:val="left"/>
              <w:rPr>
                <w:rFonts w:cs="Arial"/>
                <w:sz w:val="15"/>
                <w:szCs w:val="15"/>
                <w:lang w:val="de-DE"/>
              </w:rPr>
            </w:pPr>
            <w:r w:rsidRPr="00E56594">
              <w:rPr>
                <w:rFonts w:cs="Arial"/>
                <w:sz w:val="15"/>
                <w:szCs w:val="15"/>
                <w:lang w:val="de-DE"/>
              </w:rPr>
              <w:t>P5-P15</w:t>
            </w:r>
            <w:r w:rsidR="00AF0CB0" w:rsidRPr="00E56594">
              <w:rPr>
                <w:rFonts w:cs="Arial"/>
                <w:sz w:val="15"/>
                <w:szCs w:val="15"/>
                <w:lang w:val="de-DE"/>
              </w:rPr>
              <w:t xml:space="preserve"> </w:t>
            </w:r>
            <w:r w:rsidRPr="00E56594">
              <w:rPr>
                <w:rFonts w:cs="Arial"/>
                <w:sz w:val="15"/>
                <w:szCs w:val="15"/>
                <w:lang w:val="de-DE"/>
              </w:rPr>
              <w:t>=</w:t>
            </w:r>
            <w:r w:rsidR="00AF0CB0" w:rsidRPr="00E56594">
              <w:rPr>
                <w:rFonts w:cs="Arial"/>
                <w:sz w:val="15"/>
                <w:szCs w:val="15"/>
                <w:lang w:val="de-DE"/>
              </w:rPr>
              <w:t xml:space="preserve"> </w:t>
            </w:r>
            <w:r w:rsidRPr="00E56594">
              <w:rPr>
                <w:rFonts w:cs="Arial"/>
                <w:sz w:val="15"/>
                <w:szCs w:val="15"/>
                <w:highlight w:val="yellow"/>
                <w:lang w:val="de-DE"/>
              </w:rPr>
              <w:t>NW</w:t>
            </w:r>
            <w:r w:rsidRPr="00E56594">
              <w:rPr>
                <w:rFonts w:cs="Arial"/>
                <w:sz w:val="15"/>
                <w:szCs w:val="15"/>
                <w:lang w:val="de-DE"/>
              </w:rPr>
              <w:t xml:space="preserve"> stark</w:t>
            </w:r>
          </w:p>
          <w:p w:rsidR="00757B47" w:rsidRPr="00E56594" w:rsidRDefault="00BE3DE3" w:rsidP="00757B47">
            <w:pPr>
              <w:jc w:val="left"/>
              <w:rPr>
                <w:rFonts w:cs="Arial"/>
                <w:sz w:val="15"/>
                <w:szCs w:val="15"/>
                <w:lang w:val="de-DE"/>
              </w:rPr>
            </w:pPr>
            <w:r w:rsidRPr="00E56594">
              <w:rPr>
                <w:rFonts w:cs="Arial"/>
                <w:sz w:val="15"/>
                <w:szCs w:val="15"/>
                <w:lang w:val="de-DE"/>
              </w:rPr>
              <w:t>&gt;</w:t>
            </w:r>
            <w:r w:rsidR="00757B47" w:rsidRPr="00E56594">
              <w:rPr>
                <w:rFonts w:cs="Arial"/>
                <w:sz w:val="15"/>
                <w:szCs w:val="15"/>
                <w:lang w:val="de-DE"/>
              </w:rPr>
              <w:t>P15-P25</w:t>
            </w:r>
            <w:r w:rsidR="00AF0CB0" w:rsidRPr="00E56594">
              <w:rPr>
                <w:rFonts w:cs="Arial"/>
                <w:sz w:val="15"/>
                <w:szCs w:val="15"/>
                <w:lang w:val="de-DE"/>
              </w:rPr>
              <w:t xml:space="preserve"> </w:t>
            </w:r>
            <w:r w:rsidR="00757B47" w:rsidRPr="00E56594">
              <w:rPr>
                <w:rFonts w:cs="Arial"/>
                <w:sz w:val="15"/>
                <w:szCs w:val="15"/>
                <w:lang w:val="de-DE"/>
              </w:rPr>
              <w:t>=</w:t>
            </w:r>
            <w:r w:rsidR="00AF0CB0" w:rsidRPr="00E56594">
              <w:rPr>
                <w:rFonts w:cs="Arial"/>
                <w:sz w:val="15"/>
                <w:szCs w:val="15"/>
                <w:lang w:val="de-DE"/>
              </w:rPr>
              <w:t xml:space="preserve"> </w:t>
            </w:r>
            <w:r w:rsidR="00757B47" w:rsidRPr="00E56594">
              <w:rPr>
                <w:rFonts w:cs="Arial"/>
                <w:sz w:val="15"/>
                <w:szCs w:val="15"/>
                <w:highlight w:val="yellow"/>
                <w:lang w:val="de-DE"/>
              </w:rPr>
              <w:t>NW</w:t>
            </w:r>
            <w:r w:rsidR="00757B47" w:rsidRPr="00E56594">
              <w:rPr>
                <w:rFonts w:cs="Arial"/>
                <w:sz w:val="15"/>
                <w:szCs w:val="15"/>
                <w:lang w:val="de-DE"/>
              </w:rPr>
              <w:t xml:space="preserve"> mäßig</w:t>
            </w:r>
          </w:p>
          <w:p w:rsidR="00757B47" w:rsidRPr="00E56594" w:rsidRDefault="00BE3DE3" w:rsidP="00757B47">
            <w:pPr>
              <w:jc w:val="left"/>
              <w:rPr>
                <w:rFonts w:cs="Arial"/>
                <w:sz w:val="15"/>
                <w:szCs w:val="15"/>
                <w:lang w:val="de-DE"/>
              </w:rPr>
            </w:pPr>
            <w:r w:rsidRPr="00E56594">
              <w:rPr>
                <w:rFonts w:cs="Arial"/>
                <w:sz w:val="15"/>
                <w:szCs w:val="15"/>
                <w:lang w:val="de-DE"/>
              </w:rPr>
              <w:t>&gt;</w:t>
            </w:r>
            <w:r w:rsidR="00757B47" w:rsidRPr="00E56594">
              <w:rPr>
                <w:rFonts w:cs="Arial"/>
                <w:sz w:val="15"/>
                <w:szCs w:val="15"/>
                <w:lang w:val="de-DE"/>
              </w:rPr>
              <w:t>P25-P75</w:t>
            </w:r>
            <w:r w:rsidR="00AF0CB0" w:rsidRPr="00E56594">
              <w:rPr>
                <w:rFonts w:cs="Arial"/>
                <w:sz w:val="15"/>
                <w:szCs w:val="15"/>
                <w:lang w:val="de-DE"/>
              </w:rPr>
              <w:t xml:space="preserve"> </w:t>
            </w:r>
            <w:r w:rsidR="00757B47" w:rsidRPr="00E56594">
              <w:rPr>
                <w:rFonts w:cs="Arial"/>
                <w:sz w:val="15"/>
                <w:szCs w:val="15"/>
                <w:lang w:val="de-DE"/>
              </w:rPr>
              <w:t>=</w:t>
            </w:r>
            <w:r w:rsidR="00AF0CB0" w:rsidRPr="00E56594">
              <w:rPr>
                <w:rFonts w:cs="Arial"/>
                <w:sz w:val="15"/>
                <w:szCs w:val="15"/>
                <w:lang w:val="de-DE"/>
              </w:rPr>
              <w:t xml:space="preserve"> </w:t>
            </w:r>
            <w:r w:rsidR="00757B47" w:rsidRPr="00E56594">
              <w:rPr>
                <w:rFonts w:cs="Arial"/>
                <w:sz w:val="15"/>
                <w:szCs w:val="15"/>
                <w:lang w:val="de-DE"/>
              </w:rPr>
              <w:t>normal</w:t>
            </w:r>
          </w:p>
        </w:tc>
      </w:tr>
      <w:tr w:rsidR="006313C2" w:rsidRPr="00E56594" w:rsidTr="00E46CC5">
        <w:trPr>
          <w:cantSplit/>
        </w:trPr>
        <w:tc>
          <w:tcPr>
            <w:tcW w:w="1668" w:type="dxa"/>
          </w:tcPr>
          <w:p w:rsidR="00757B47" w:rsidRPr="00E56594" w:rsidRDefault="00757B47" w:rsidP="0056178E">
            <w:pPr>
              <w:rPr>
                <w:rFonts w:cs="Arial"/>
                <w:sz w:val="15"/>
                <w:szCs w:val="15"/>
                <w:lang w:val="de-DE"/>
              </w:rPr>
            </w:pPr>
            <w:r w:rsidRPr="00E56594">
              <w:rPr>
                <w:rFonts w:cs="Arial"/>
                <w:sz w:val="15"/>
                <w:szCs w:val="15"/>
                <w:lang w:val="de-DE"/>
              </w:rPr>
              <w:t>Anmerkungen</w:t>
            </w:r>
          </w:p>
        </w:tc>
        <w:tc>
          <w:tcPr>
            <w:tcW w:w="1580" w:type="dxa"/>
          </w:tcPr>
          <w:p w:rsidR="00757B47" w:rsidRPr="00E56594" w:rsidRDefault="00757B47" w:rsidP="00757B47">
            <w:pPr>
              <w:jc w:val="left"/>
              <w:rPr>
                <w:rFonts w:cs="Arial"/>
                <w:sz w:val="15"/>
                <w:szCs w:val="15"/>
                <w:lang w:val="de-DE"/>
              </w:rPr>
            </w:pPr>
          </w:p>
        </w:tc>
        <w:tc>
          <w:tcPr>
            <w:tcW w:w="1554" w:type="dxa"/>
          </w:tcPr>
          <w:p w:rsidR="00757B47" w:rsidRPr="00E56594" w:rsidRDefault="00757B47" w:rsidP="00757B47">
            <w:pPr>
              <w:jc w:val="left"/>
              <w:rPr>
                <w:rFonts w:cs="Arial"/>
                <w:sz w:val="15"/>
                <w:szCs w:val="15"/>
                <w:lang w:val="de-DE"/>
              </w:rPr>
            </w:pPr>
          </w:p>
        </w:tc>
        <w:tc>
          <w:tcPr>
            <w:tcW w:w="1554" w:type="dxa"/>
          </w:tcPr>
          <w:p w:rsidR="00757B47" w:rsidRPr="00E56594" w:rsidRDefault="00757B47" w:rsidP="007456CA">
            <w:pPr>
              <w:jc w:val="left"/>
              <w:rPr>
                <w:rFonts w:cs="Arial"/>
                <w:sz w:val="15"/>
                <w:szCs w:val="15"/>
                <w:lang w:val="de-DE"/>
              </w:rPr>
            </w:pPr>
            <w:r w:rsidRPr="00E56594">
              <w:rPr>
                <w:rFonts w:cs="Arial"/>
                <w:sz w:val="15"/>
                <w:szCs w:val="15"/>
                <w:lang w:val="de-DE"/>
              </w:rPr>
              <w:t>getrennte Aus</w:t>
            </w:r>
            <w:r w:rsidRPr="00E56594">
              <w:rPr>
                <w:rFonts w:cs="Arial"/>
                <w:sz w:val="15"/>
                <w:szCs w:val="15"/>
                <w:lang w:val="de-DE"/>
              </w:rPr>
              <w:softHyphen/>
              <w:t>wertung für 2 Reg</w:t>
            </w:r>
            <w:r w:rsidRPr="00E56594">
              <w:rPr>
                <w:rFonts w:cs="Arial"/>
                <w:sz w:val="15"/>
                <w:szCs w:val="15"/>
                <w:lang w:val="de-DE"/>
              </w:rPr>
              <w:t>i</w:t>
            </w:r>
            <w:r w:rsidRPr="00E56594">
              <w:rPr>
                <w:rFonts w:cs="Arial"/>
                <w:sz w:val="15"/>
                <w:szCs w:val="15"/>
                <w:lang w:val="de-DE"/>
              </w:rPr>
              <w:t>on</w:t>
            </w:r>
            <w:r w:rsidR="008F799D" w:rsidRPr="00E56594">
              <w:rPr>
                <w:rFonts w:cs="Arial"/>
                <w:sz w:val="15"/>
                <w:szCs w:val="15"/>
                <w:lang w:val="de-DE"/>
              </w:rPr>
              <w:t>en (Pleistozän im N</w:t>
            </w:r>
            <w:r w:rsidR="007456CA" w:rsidRPr="00E56594">
              <w:rPr>
                <w:rFonts w:cs="Arial"/>
                <w:sz w:val="15"/>
                <w:szCs w:val="15"/>
                <w:lang w:val="de-DE"/>
              </w:rPr>
              <w:t>ordosten</w:t>
            </w:r>
            <w:r w:rsidR="008F799D" w:rsidRPr="00E56594">
              <w:rPr>
                <w:rFonts w:cs="Arial"/>
                <w:sz w:val="15"/>
                <w:szCs w:val="15"/>
                <w:lang w:val="de-DE"/>
              </w:rPr>
              <w:t xml:space="preserve"> bzw. Fest</w:t>
            </w:r>
            <w:r w:rsidRPr="00E56594">
              <w:rPr>
                <w:rFonts w:cs="Arial"/>
                <w:sz w:val="15"/>
                <w:szCs w:val="15"/>
                <w:lang w:val="de-DE"/>
              </w:rPr>
              <w:t>gesteinsbere</w:t>
            </w:r>
            <w:r w:rsidRPr="00E56594">
              <w:rPr>
                <w:rFonts w:cs="Arial"/>
                <w:sz w:val="15"/>
                <w:szCs w:val="15"/>
                <w:lang w:val="de-DE"/>
              </w:rPr>
              <w:t>i</w:t>
            </w:r>
            <w:r w:rsidRPr="00E56594">
              <w:rPr>
                <w:rFonts w:cs="Arial"/>
                <w:sz w:val="15"/>
                <w:szCs w:val="15"/>
                <w:lang w:val="de-DE"/>
              </w:rPr>
              <w:t>che im S</w:t>
            </w:r>
            <w:r w:rsidR="007456CA" w:rsidRPr="00E56594">
              <w:rPr>
                <w:rFonts w:cs="Arial"/>
                <w:sz w:val="15"/>
                <w:szCs w:val="15"/>
                <w:lang w:val="de-DE"/>
              </w:rPr>
              <w:t>üdwesten</w:t>
            </w:r>
            <w:r w:rsidRPr="00E56594">
              <w:rPr>
                <w:rFonts w:cs="Arial"/>
                <w:sz w:val="15"/>
                <w:szCs w:val="15"/>
                <w:lang w:val="de-DE"/>
              </w:rPr>
              <w:t>)</w:t>
            </w:r>
          </w:p>
        </w:tc>
        <w:tc>
          <w:tcPr>
            <w:tcW w:w="1554" w:type="dxa"/>
          </w:tcPr>
          <w:p w:rsidR="00757B47" w:rsidRPr="00E56594" w:rsidRDefault="00757B47" w:rsidP="00757B47">
            <w:pPr>
              <w:jc w:val="left"/>
              <w:rPr>
                <w:rFonts w:cs="Arial"/>
                <w:sz w:val="15"/>
                <w:szCs w:val="15"/>
                <w:lang w:val="de-DE"/>
              </w:rPr>
            </w:pPr>
          </w:p>
        </w:tc>
        <w:tc>
          <w:tcPr>
            <w:tcW w:w="1554" w:type="dxa"/>
          </w:tcPr>
          <w:p w:rsidR="00757B47" w:rsidRPr="00E56594" w:rsidRDefault="00757B47" w:rsidP="00757B47">
            <w:pPr>
              <w:jc w:val="left"/>
              <w:rPr>
                <w:rFonts w:cs="Arial"/>
                <w:sz w:val="15"/>
                <w:szCs w:val="15"/>
                <w:lang w:val="de-DE"/>
              </w:rPr>
            </w:pPr>
          </w:p>
        </w:tc>
      </w:tr>
    </w:tbl>
    <w:p w:rsidR="007F66A9" w:rsidRPr="00DE19A1" w:rsidRDefault="007F66A9" w:rsidP="0056178E">
      <w:pPr>
        <w:rPr>
          <w:sz w:val="16"/>
          <w:szCs w:val="16"/>
          <w:lang w:val="de-DE"/>
        </w:rPr>
      </w:pPr>
      <w:r w:rsidRPr="006D3BB1">
        <w:rPr>
          <w:sz w:val="16"/>
          <w:szCs w:val="16"/>
          <w:highlight w:val="yellow"/>
          <w:lang w:val="de-DE"/>
        </w:rPr>
        <w:t xml:space="preserve">NW: </w:t>
      </w:r>
      <w:r w:rsidR="00BE3DE3" w:rsidRPr="006D3BB1">
        <w:rPr>
          <w:sz w:val="16"/>
          <w:szCs w:val="16"/>
          <w:highlight w:val="yellow"/>
          <w:lang w:val="de-DE"/>
        </w:rPr>
        <w:t>Niedrigwasser</w:t>
      </w:r>
    </w:p>
    <w:p w:rsidR="00245757" w:rsidRPr="007916D6" w:rsidRDefault="00245757" w:rsidP="0056178E">
      <w:pPr>
        <w:rPr>
          <w:lang w:val="de-DE"/>
        </w:rPr>
      </w:pPr>
    </w:p>
    <w:p w:rsidR="003A70ED" w:rsidRDefault="003A70ED" w:rsidP="003A70ED">
      <w:pPr>
        <w:rPr>
          <w:lang w:val="de-DE"/>
        </w:rPr>
      </w:pPr>
      <w:r>
        <w:rPr>
          <w:lang w:val="de-DE"/>
        </w:rPr>
        <w:t>In Hamburg wurde eine qualitative Überprüfung der Grundwasserstände durchgeführt.</w:t>
      </w:r>
      <w:r w:rsidR="00CD3299">
        <w:rPr>
          <w:rStyle w:val="Funotenzeichen"/>
          <w:lang w:val="de-DE"/>
        </w:rPr>
        <w:footnoteReference w:id="2"/>
      </w:r>
    </w:p>
    <w:p w:rsidR="006960D6" w:rsidRPr="007916D6" w:rsidRDefault="006960D6" w:rsidP="00FA66D2">
      <w:pPr>
        <w:rPr>
          <w:lang w:val="de-DE"/>
        </w:rPr>
      </w:pPr>
    </w:p>
    <w:p w:rsidR="008010F8" w:rsidRPr="007916D6" w:rsidRDefault="008010F8" w:rsidP="00370625">
      <w:pPr>
        <w:pStyle w:val="berschrift2"/>
      </w:pPr>
      <w:r w:rsidRPr="007916D6">
        <w:t xml:space="preserve">Auswertung der Wasserstände in den </w:t>
      </w:r>
      <w:commentRangeStart w:id="2"/>
      <w:r w:rsidRPr="007916D6">
        <w:t>Flachbohrungen</w:t>
      </w:r>
      <w:commentRangeEnd w:id="2"/>
      <w:r w:rsidR="008945BA">
        <w:rPr>
          <w:rStyle w:val="Kommentarzeichen"/>
          <w:rFonts w:ascii="Arial" w:hAnsi="Arial" w:cs="Times New Roman"/>
          <w:bCs w:val="0"/>
          <w:iCs w:val="0"/>
          <w:kern w:val="0"/>
          <w:lang w:val="cs-CZ"/>
        </w:rPr>
        <w:commentReference w:id="2"/>
      </w:r>
    </w:p>
    <w:p w:rsidR="008010F8" w:rsidRPr="007916D6" w:rsidRDefault="00BB6520" w:rsidP="008010F8">
      <w:pPr>
        <w:rPr>
          <w:lang w:val="de-DE"/>
        </w:rPr>
      </w:pPr>
      <w:r w:rsidRPr="007916D6">
        <w:rPr>
          <w:lang w:val="de-DE"/>
        </w:rPr>
        <w:t>B</w:t>
      </w:r>
      <w:r w:rsidR="00AA6FD1" w:rsidRPr="007916D6">
        <w:rPr>
          <w:lang w:val="de-DE"/>
        </w:rPr>
        <w:t xml:space="preserve">ereits ab </w:t>
      </w:r>
      <w:r w:rsidR="00846DDA" w:rsidRPr="007916D6">
        <w:rPr>
          <w:lang w:val="de-DE"/>
        </w:rPr>
        <w:t xml:space="preserve">dem </w:t>
      </w:r>
      <w:r w:rsidR="00AA6FD1" w:rsidRPr="007916D6">
        <w:rPr>
          <w:lang w:val="de-DE"/>
        </w:rPr>
        <w:t>Fr</w:t>
      </w:r>
      <w:r w:rsidR="00846DDA" w:rsidRPr="007916D6">
        <w:rPr>
          <w:lang w:val="de-DE"/>
        </w:rPr>
        <w:t>ühjahr</w:t>
      </w:r>
      <w:r w:rsidR="00AA6FD1" w:rsidRPr="007916D6">
        <w:rPr>
          <w:lang w:val="de-DE"/>
        </w:rPr>
        <w:t xml:space="preserve"> </w:t>
      </w:r>
      <w:r w:rsidRPr="007916D6">
        <w:rPr>
          <w:lang w:val="de-DE"/>
        </w:rPr>
        <w:t xml:space="preserve">ist ein zunehmendes Defizit der flachen Grundwasserleiter in der </w:t>
      </w:r>
      <w:r w:rsidRPr="007916D6">
        <w:rPr>
          <w:b/>
          <w:lang w:val="de-DE"/>
        </w:rPr>
        <w:t>Tschechischen Republik</w:t>
      </w:r>
      <w:r w:rsidRPr="007916D6">
        <w:rPr>
          <w:lang w:val="de-DE"/>
        </w:rPr>
        <w:t xml:space="preserve"> </w:t>
      </w:r>
      <w:r w:rsidR="00AA6FD1" w:rsidRPr="007916D6">
        <w:rPr>
          <w:lang w:val="de-DE"/>
        </w:rPr>
        <w:t xml:space="preserve">zu erkennen. In der Zeit der üblichen Frühjahrsmaxima </w:t>
      </w:r>
      <w:r w:rsidR="007034E6" w:rsidRPr="007916D6">
        <w:rPr>
          <w:lang w:val="de-DE"/>
        </w:rPr>
        <w:t>erreichte der Wasserspiegel nicht einmal d</w:t>
      </w:r>
      <w:r w:rsidR="00846DDA" w:rsidRPr="007916D6">
        <w:rPr>
          <w:lang w:val="de-DE"/>
        </w:rPr>
        <w:t>as</w:t>
      </w:r>
      <w:r w:rsidR="007034E6" w:rsidRPr="007916D6">
        <w:rPr>
          <w:lang w:val="de-DE"/>
        </w:rPr>
        <w:t xml:space="preserve"> normale </w:t>
      </w:r>
      <w:r w:rsidR="00846DDA" w:rsidRPr="007916D6">
        <w:rPr>
          <w:lang w:val="de-DE"/>
        </w:rPr>
        <w:t>Niveau</w:t>
      </w:r>
      <w:r w:rsidR="007034E6" w:rsidRPr="007916D6">
        <w:rPr>
          <w:lang w:val="de-DE"/>
        </w:rPr>
        <w:t xml:space="preserve"> und ab April </w:t>
      </w:r>
      <w:r w:rsidR="00846DDA" w:rsidRPr="007916D6">
        <w:rPr>
          <w:lang w:val="de-DE"/>
        </w:rPr>
        <w:t>fiel</w:t>
      </w:r>
      <w:r w:rsidR="007034E6" w:rsidRPr="007916D6">
        <w:rPr>
          <w:lang w:val="de-DE"/>
        </w:rPr>
        <w:t xml:space="preserve"> er mit stärkerer Intensität als </w:t>
      </w:r>
      <w:r w:rsidR="008A3020">
        <w:rPr>
          <w:lang w:val="de-DE"/>
        </w:rPr>
        <w:t>für</w:t>
      </w:r>
      <w:r w:rsidR="007034E6" w:rsidRPr="007916D6">
        <w:rPr>
          <w:lang w:val="de-DE"/>
        </w:rPr>
        <w:t xml:space="preserve"> diese Monat</w:t>
      </w:r>
      <w:r w:rsidR="008A3020">
        <w:rPr>
          <w:lang w:val="de-DE"/>
        </w:rPr>
        <w:t>e</w:t>
      </w:r>
      <w:r w:rsidR="007034E6" w:rsidRPr="007916D6">
        <w:rPr>
          <w:lang w:val="de-DE"/>
        </w:rPr>
        <w:t xml:space="preserve"> üblich. </w:t>
      </w:r>
      <w:r w:rsidR="00883982" w:rsidRPr="007916D6">
        <w:rPr>
          <w:lang w:val="de-DE"/>
        </w:rPr>
        <w:t xml:space="preserve">Der Zustand der flachen Grundwasserleiter </w:t>
      </w:r>
      <w:r w:rsidR="007034E6" w:rsidRPr="007916D6">
        <w:rPr>
          <w:lang w:val="de-DE"/>
        </w:rPr>
        <w:t xml:space="preserve">begann </w:t>
      </w:r>
      <w:r w:rsidR="00883982" w:rsidRPr="007916D6">
        <w:rPr>
          <w:lang w:val="de-DE"/>
        </w:rPr>
        <w:t xml:space="preserve">sich ab Oktober </w:t>
      </w:r>
      <w:r w:rsidR="007034E6" w:rsidRPr="007916D6">
        <w:rPr>
          <w:lang w:val="de-DE"/>
        </w:rPr>
        <w:t xml:space="preserve">langsam zu bessern, </w:t>
      </w:r>
      <w:r w:rsidR="00883982" w:rsidRPr="007916D6">
        <w:rPr>
          <w:lang w:val="de-DE"/>
        </w:rPr>
        <w:t xml:space="preserve">näherte sich </w:t>
      </w:r>
      <w:r w:rsidR="007034E6" w:rsidRPr="007916D6">
        <w:rPr>
          <w:lang w:val="de-DE"/>
        </w:rPr>
        <w:t xml:space="preserve">aber bis </w:t>
      </w:r>
      <w:r w:rsidR="00883982" w:rsidRPr="007916D6">
        <w:rPr>
          <w:lang w:val="de-DE"/>
        </w:rPr>
        <w:t>zum Jahrese</w:t>
      </w:r>
      <w:r w:rsidR="007034E6" w:rsidRPr="007916D6">
        <w:rPr>
          <w:lang w:val="de-DE"/>
        </w:rPr>
        <w:t>nde dem normalen Niveau</w:t>
      </w:r>
      <w:r w:rsidR="00DB0214" w:rsidRPr="007916D6">
        <w:rPr>
          <w:lang w:val="de-DE"/>
        </w:rPr>
        <w:t xml:space="preserve"> nur an</w:t>
      </w:r>
      <w:r w:rsidR="007034E6" w:rsidRPr="007916D6">
        <w:rPr>
          <w:lang w:val="de-DE"/>
        </w:rPr>
        <w:t>.</w:t>
      </w:r>
    </w:p>
    <w:p w:rsidR="007034E6" w:rsidRPr="007916D6" w:rsidRDefault="007034E6" w:rsidP="008010F8">
      <w:pPr>
        <w:rPr>
          <w:lang w:val="de-DE"/>
        </w:rPr>
      </w:pPr>
    </w:p>
    <w:p w:rsidR="007034E6" w:rsidRPr="007916D6" w:rsidRDefault="007034E6" w:rsidP="008010F8">
      <w:pPr>
        <w:rPr>
          <w:lang w:val="de-DE"/>
        </w:rPr>
      </w:pPr>
      <w:r w:rsidRPr="007916D6">
        <w:rPr>
          <w:lang w:val="de-DE"/>
        </w:rPr>
        <w:t xml:space="preserve">Der Wasserspiegel in den Flachbohrungen begann bereits im März deutlicher zu fallen, und zwar insbesondere in den Teileinzugsgebieten der </w:t>
      </w:r>
      <w:r w:rsidR="00BB6520" w:rsidRPr="007916D6">
        <w:rPr>
          <w:lang w:val="de-DE"/>
        </w:rPr>
        <w:t>tschechischen O</w:t>
      </w:r>
      <w:r w:rsidRPr="007916D6">
        <w:rPr>
          <w:lang w:val="de-DE"/>
        </w:rPr>
        <w:t xml:space="preserve">beren und mittleren Elbe </w:t>
      </w:r>
      <w:r w:rsidR="00BB6520" w:rsidRPr="007916D6">
        <w:rPr>
          <w:lang w:val="de-DE"/>
        </w:rPr>
        <w:t>sowie</w:t>
      </w:r>
      <w:r w:rsidRPr="007916D6">
        <w:rPr>
          <w:lang w:val="de-DE"/>
        </w:rPr>
        <w:t xml:space="preserve"> der Unteren Moldau. </w:t>
      </w:r>
      <w:r w:rsidR="00883982" w:rsidRPr="007916D6">
        <w:rPr>
          <w:lang w:val="de-DE"/>
        </w:rPr>
        <w:t>Am stärksten v</w:t>
      </w:r>
      <w:r w:rsidRPr="007916D6">
        <w:rPr>
          <w:lang w:val="de-DE"/>
        </w:rPr>
        <w:t>on der Niedrigwassersituation betroffen waren b</w:t>
      </w:r>
      <w:r w:rsidRPr="007916D6">
        <w:rPr>
          <w:lang w:val="de-DE"/>
        </w:rPr>
        <w:t>e</w:t>
      </w:r>
      <w:r w:rsidRPr="007916D6">
        <w:rPr>
          <w:lang w:val="de-DE"/>
        </w:rPr>
        <w:t xml:space="preserve">reits ab Juni die Teileinzugsgebiete der </w:t>
      </w:r>
      <w:r w:rsidR="00BB6520" w:rsidRPr="007916D6">
        <w:rPr>
          <w:lang w:val="de-DE"/>
        </w:rPr>
        <w:t>tschechischen O</w:t>
      </w:r>
      <w:r w:rsidRPr="007916D6">
        <w:rPr>
          <w:lang w:val="de-DE"/>
        </w:rPr>
        <w:t>beren und mittleren Elbe sowie der Oberen Moldau (nordöstliches und südliches Böhmen).</w:t>
      </w:r>
    </w:p>
    <w:p w:rsidR="007034E6" w:rsidRPr="007916D6" w:rsidRDefault="007034E6" w:rsidP="008010F8">
      <w:pPr>
        <w:rPr>
          <w:lang w:val="de-DE"/>
        </w:rPr>
      </w:pPr>
    </w:p>
    <w:p w:rsidR="007034E6" w:rsidRPr="007916D6" w:rsidRDefault="00883982" w:rsidP="008010F8">
      <w:pPr>
        <w:rPr>
          <w:lang w:val="de-DE"/>
        </w:rPr>
      </w:pPr>
      <w:r w:rsidRPr="007916D6">
        <w:rPr>
          <w:lang w:val="de-DE"/>
        </w:rPr>
        <w:t>Im Hinblick auf</w:t>
      </w:r>
      <w:r w:rsidR="007034E6" w:rsidRPr="007916D6">
        <w:rPr>
          <w:lang w:val="de-DE"/>
        </w:rPr>
        <w:t xml:space="preserve"> d</w:t>
      </w:r>
      <w:r w:rsidRPr="007916D6">
        <w:rPr>
          <w:lang w:val="de-DE"/>
        </w:rPr>
        <w:t>i</w:t>
      </w:r>
      <w:r w:rsidR="007034E6" w:rsidRPr="007916D6">
        <w:rPr>
          <w:lang w:val="de-DE"/>
        </w:rPr>
        <w:t>e Einordnung der Wasserstände in den Flachbohrungen auf den Überschre</w:t>
      </w:r>
      <w:r w:rsidR="007034E6" w:rsidRPr="007916D6">
        <w:rPr>
          <w:lang w:val="de-DE"/>
        </w:rPr>
        <w:t>i</w:t>
      </w:r>
      <w:r w:rsidR="007034E6" w:rsidRPr="007916D6">
        <w:rPr>
          <w:lang w:val="de-DE"/>
        </w:rPr>
        <w:t xml:space="preserve">tungskurven war </w:t>
      </w:r>
      <w:r w:rsidR="00846DDA" w:rsidRPr="007916D6">
        <w:rPr>
          <w:lang w:val="de-DE"/>
        </w:rPr>
        <w:t xml:space="preserve">2015 </w:t>
      </w:r>
      <w:r w:rsidR="007034E6" w:rsidRPr="007916D6">
        <w:rPr>
          <w:lang w:val="de-DE"/>
        </w:rPr>
        <w:t xml:space="preserve">Mitte </w:t>
      </w:r>
      <w:r w:rsidR="00846DDA" w:rsidRPr="007916D6">
        <w:rPr>
          <w:lang w:val="de-DE"/>
        </w:rPr>
        <w:t>August</w:t>
      </w:r>
      <w:r w:rsidR="007034E6" w:rsidRPr="007916D6">
        <w:rPr>
          <w:lang w:val="de-DE"/>
        </w:rPr>
        <w:t xml:space="preserve"> di</w:t>
      </w:r>
      <w:r w:rsidR="003F3E72" w:rsidRPr="007916D6">
        <w:rPr>
          <w:lang w:val="de-DE"/>
        </w:rPr>
        <w:t xml:space="preserve">e trockenste Zeit, als der Wasserspiegel bei ca. 60 % der Flachbohrungen auf ein stark bis </w:t>
      </w:r>
      <w:r w:rsidR="009F7302" w:rsidRPr="007916D6">
        <w:rPr>
          <w:lang w:val="de-DE"/>
        </w:rPr>
        <w:t>extrem</w:t>
      </w:r>
      <w:r w:rsidR="003F3E72" w:rsidRPr="007916D6">
        <w:rPr>
          <w:lang w:val="de-DE"/>
        </w:rPr>
        <w:t xml:space="preserve"> unter dem Normalwert liegendes Niveau fiel. </w:t>
      </w:r>
      <w:r w:rsidRPr="007916D6">
        <w:rPr>
          <w:lang w:val="de-DE"/>
        </w:rPr>
        <w:t>Am hä</w:t>
      </w:r>
      <w:r w:rsidRPr="007916D6">
        <w:rPr>
          <w:lang w:val="de-DE"/>
        </w:rPr>
        <w:t>u</w:t>
      </w:r>
      <w:r w:rsidRPr="007916D6">
        <w:rPr>
          <w:lang w:val="de-DE"/>
        </w:rPr>
        <w:t xml:space="preserve">figsten kamen </w:t>
      </w:r>
      <w:r w:rsidR="003F3E72" w:rsidRPr="007916D6">
        <w:rPr>
          <w:lang w:val="de-DE"/>
        </w:rPr>
        <w:t>Bohrungen mit einem so niedrigen Wasserstand im nordöstlichen und südwestl</w:t>
      </w:r>
      <w:r w:rsidR="003F3E72" w:rsidRPr="007916D6">
        <w:rPr>
          <w:lang w:val="de-DE"/>
        </w:rPr>
        <w:t>i</w:t>
      </w:r>
      <w:r w:rsidR="003F3E72" w:rsidRPr="007916D6">
        <w:rPr>
          <w:lang w:val="de-DE"/>
        </w:rPr>
        <w:t>chen Böhmen vor.</w:t>
      </w:r>
    </w:p>
    <w:p w:rsidR="003F3E72" w:rsidRPr="007916D6" w:rsidRDefault="003F3E72" w:rsidP="008010F8">
      <w:pPr>
        <w:rPr>
          <w:lang w:val="de-DE"/>
        </w:rPr>
      </w:pPr>
    </w:p>
    <w:p w:rsidR="003F3E72" w:rsidRPr="007916D6" w:rsidRDefault="003F3E72" w:rsidP="008010F8">
      <w:pPr>
        <w:rPr>
          <w:lang w:val="de-DE"/>
        </w:rPr>
      </w:pPr>
      <w:r w:rsidRPr="007916D6">
        <w:rPr>
          <w:lang w:val="de-DE"/>
        </w:rPr>
        <w:t xml:space="preserve">Die </w:t>
      </w:r>
      <w:r w:rsidR="00846DDA" w:rsidRPr="007916D6">
        <w:rPr>
          <w:lang w:val="de-DE"/>
        </w:rPr>
        <w:t xml:space="preserve">Niederschläge von </w:t>
      </w:r>
      <w:r w:rsidRPr="007916D6">
        <w:rPr>
          <w:lang w:val="de-DE"/>
        </w:rPr>
        <w:t>Mitte August trugen zu einer Mäßigung de</w:t>
      </w:r>
      <w:r w:rsidR="00846DDA" w:rsidRPr="007916D6">
        <w:rPr>
          <w:lang w:val="de-DE"/>
        </w:rPr>
        <w:t>s F</w:t>
      </w:r>
      <w:r w:rsidRPr="007916D6">
        <w:rPr>
          <w:lang w:val="de-DE"/>
        </w:rPr>
        <w:t>allen</w:t>
      </w:r>
      <w:r w:rsidR="00846DDA" w:rsidRPr="007916D6">
        <w:rPr>
          <w:lang w:val="de-DE"/>
        </w:rPr>
        <w:t xml:space="preserve">s </w:t>
      </w:r>
      <w:r w:rsidRPr="007916D6">
        <w:rPr>
          <w:lang w:val="de-DE"/>
        </w:rPr>
        <w:t>de</w:t>
      </w:r>
      <w:r w:rsidR="00846DDA" w:rsidRPr="007916D6">
        <w:rPr>
          <w:lang w:val="de-DE"/>
        </w:rPr>
        <w:t>s</w:t>
      </w:r>
      <w:r w:rsidRPr="007916D6">
        <w:rPr>
          <w:lang w:val="de-DE"/>
        </w:rPr>
        <w:t xml:space="preserve"> Wasserspiegel</w:t>
      </w:r>
      <w:r w:rsidR="00846DDA" w:rsidRPr="007916D6">
        <w:rPr>
          <w:lang w:val="de-DE"/>
        </w:rPr>
        <w:t>s</w:t>
      </w:r>
      <w:r w:rsidRPr="007916D6">
        <w:rPr>
          <w:lang w:val="de-DE"/>
        </w:rPr>
        <w:t xml:space="preserve"> bei, stellenweise wurde auch </w:t>
      </w:r>
      <w:r w:rsidR="00846DDA" w:rsidRPr="007916D6">
        <w:rPr>
          <w:lang w:val="de-DE"/>
        </w:rPr>
        <w:t>sein</w:t>
      </w:r>
      <w:r w:rsidR="00883982" w:rsidRPr="007916D6">
        <w:rPr>
          <w:lang w:val="de-DE"/>
        </w:rPr>
        <w:t xml:space="preserve"> </w:t>
      </w:r>
      <w:r w:rsidRPr="007916D6">
        <w:rPr>
          <w:lang w:val="de-DE"/>
        </w:rPr>
        <w:t>zeitweiliger Anstieg registriert. In den weiteren Wochen gi</w:t>
      </w:r>
      <w:r w:rsidRPr="007916D6">
        <w:rPr>
          <w:lang w:val="de-DE"/>
        </w:rPr>
        <w:t>n</w:t>
      </w:r>
      <w:r w:rsidRPr="007916D6">
        <w:rPr>
          <w:lang w:val="de-DE"/>
        </w:rPr>
        <w:t>gen die überwachten Kenngrößen jedoch wieder zurück, wenn auch weniger als im vorang</w:t>
      </w:r>
      <w:r w:rsidRPr="007916D6">
        <w:rPr>
          <w:lang w:val="de-DE"/>
        </w:rPr>
        <w:t>e</w:t>
      </w:r>
      <w:r w:rsidRPr="007916D6">
        <w:rPr>
          <w:lang w:val="de-DE"/>
        </w:rPr>
        <w:t>gangenen Zeitraum.</w:t>
      </w:r>
    </w:p>
    <w:p w:rsidR="003F3E72" w:rsidRPr="007916D6" w:rsidRDefault="003F3E72" w:rsidP="008010F8">
      <w:pPr>
        <w:rPr>
          <w:lang w:val="de-DE"/>
        </w:rPr>
      </w:pPr>
    </w:p>
    <w:p w:rsidR="003F3E72" w:rsidRPr="007916D6" w:rsidRDefault="00834F89" w:rsidP="008010F8">
      <w:pPr>
        <w:rPr>
          <w:lang w:val="de-DE"/>
        </w:rPr>
      </w:pPr>
      <w:r w:rsidRPr="007916D6">
        <w:rPr>
          <w:lang w:val="de-DE"/>
        </w:rPr>
        <w:t xml:space="preserve">Im Oktober </w:t>
      </w:r>
      <w:r w:rsidR="00846DDA" w:rsidRPr="007916D6">
        <w:rPr>
          <w:lang w:val="de-DE"/>
        </w:rPr>
        <w:t>überwogen im größten Teil des Gebiets gleichbleibende</w:t>
      </w:r>
      <w:r w:rsidRPr="007916D6">
        <w:rPr>
          <w:lang w:val="de-DE"/>
        </w:rPr>
        <w:t xml:space="preserve"> Wasserspiegel in den Flachbohrungen. </w:t>
      </w:r>
      <w:r w:rsidR="00846DDA" w:rsidRPr="007916D6">
        <w:rPr>
          <w:lang w:val="de-DE"/>
        </w:rPr>
        <w:t>Im Teileinzugsgebiet der tschechischen Oberen und mittleren Elbe fiel der Wasserspiegel noch etwas weiter, i</w:t>
      </w:r>
      <w:r w:rsidRPr="007916D6">
        <w:rPr>
          <w:lang w:val="de-DE"/>
        </w:rPr>
        <w:t xml:space="preserve">n den Teileinzugsgebieten der Oberen Moldau, der Unteren Moldau und der </w:t>
      </w:r>
      <w:proofErr w:type="spellStart"/>
      <w:r w:rsidRPr="007916D6">
        <w:rPr>
          <w:lang w:val="de-DE"/>
        </w:rPr>
        <w:t>Berounka</w:t>
      </w:r>
      <w:proofErr w:type="spellEnd"/>
      <w:r w:rsidRPr="007916D6">
        <w:rPr>
          <w:lang w:val="de-DE"/>
        </w:rPr>
        <w:t xml:space="preserve"> war </w:t>
      </w:r>
      <w:r w:rsidR="00846DDA" w:rsidRPr="007916D6">
        <w:rPr>
          <w:lang w:val="de-DE"/>
        </w:rPr>
        <w:t xml:space="preserve">hingegen </w:t>
      </w:r>
      <w:r w:rsidRPr="007916D6">
        <w:rPr>
          <w:lang w:val="de-DE"/>
        </w:rPr>
        <w:t>ein leichtes Ansteigen des Wasserspiegels zu ve</w:t>
      </w:r>
      <w:r w:rsidRPr="007916D6">
        <w:rPr>
          <w:lang w:val="de-DE"/>
        </w:rPr>
        <w:t>r</w:t>
      </w:r>
      <w:r w:rsidRPr="007916D6">
        <w:rPr>
          <w:lang w:val="de-DE"/>
        </w:rPr>
        <w:t>zeichnen. Die Anzahl der Messstellen mit einem im Normalbereich und oberhalb von ihm li</w:t>
      </w:r>
      <w:r w:rsidRPr="007916D6">
        <w:rPr>
          <w:lang w:val="de-DE"/>
        </w:rPr>
        <w:t>e</w:t>
      </w:r>
      <w:r w:rsidRPr="007916D6">
        <w:rPr>
          <w:lang w:val="de-DE"/>
        </w:rPr>
        <w:t xml:space="preserve">genden Wasserspiegel nahm etwas zu. Auch wenn die Anzahl der </w:t>
      </w:r>
      <w:r w:rsidR="00EB1F6D" w:rsidRPr="007916D6">
        <w:rPr>
          <w:lang w:val="de-DE"/>
        </w:rPr>
        <w:t>Bohrung</w:t>
      </w:r>
      <w:r w:rsidRPr="007916D6">
        <w:rPr>
          <w:lang w:val="de-DE"/>
        </w:rPr>
        <w:t>en mit unterdurc</w:t>
      </w:r>
      <w:r w:rsidRPr="007916D6">
        <w:rPr>
          <w:lang w:val="de-DE"/>
        </w:rPr>
        <w:t>h</w:t>
      </w:r>
      <w:r w:rsidRPr="007916D6">
        <w:rPr>
          <w:lang w:val="de-DE"/>
        </w:rPr>
        <w:t>schnittlichen Werten zurückging, veränderte sich die Anzahl der Bohrungen mit einem Wasse</w:t>
      </w:r>
      <w:r w:rsidRPr="007916D6">
        <w:rPr>
          <w:lang w:val="de-DE"/>
        </w:rPr>
        <w:t>r</w:t>
      </w:r>
      <w:r w:rsidRPr="007916D6">
        <w:rPr>
          <w:lang w:val="de-DE"/>
        </w:rPr>
        <w:t xml:space="preserve">spiegel unterhalb des eine Niedrigwassersituation charakterisierenden Grenzwerts nicht (85 % der monatlichen Überschreitungskurve). Ende Oktober war das Teileinzugsgebiet der </w:t>
      </w:r>
      <w:r w:rsidR="00BB6520" w:rsidRPr="007916D6">
        <w:rPr>
          <w:lang w:val="de-DE"/>
        </w:rPr>
        <w:t>tschech</w:t>
      </w:r>
      <w:r w:rsidR="00BB6520" w:rsidRPr="007916D6">
        <w:rPr>
          <w:lang w:val="de-DE"/>
        </w:rPr>
        <w:t>i</w:t>
      </w:r>
      <w:r w:rsidR="00BB6520" w:rsidRPr="007916D6">
        <w:rPr>
          <w:lang w:val="de-DE"/>
        </w:rPr>
        <w:lastRenderedPageBreak/>
        <w:t>schen O</w:t>
      </w:r>
      <w:r w:rsidR="00886CD8" w:rsidRPr="007916D6">
        <w:rPr>
          <w:lang w:val="de-DE"/>
        </w:rPr>
        <w:t xml:space="preserve">beren und mittleren Elbe (nordöstliches Böhmen) am trockensten. In diesem Gebiet trat auch der überwiegende Teil der </w:t>
      </w:r>
      <w:r w:rsidR="00603F8F" w:rsidRPr="007916D6">
        <w:rPr>
          <w:lang w:val="de-DE"/>
        </w:rPr>
        <w:t>niedrigsten monatlichen Wasserstände seit Beginn der Me</w:t>
      </w:r>
      <w:r w:rsidR="00603F8F" w:rsidRPr="007916D6">
        <w:rPr>
          <w:lang w:val="de-DE"/>
        </w:rPr>
        <w:t>s</w:t>
      </w:r>
      <w:r w:rsidR="00603F8F" w:rsidRPr="007916D6">
        <w:rPr>
          <w:lang w:val="de-DE"/>
        </w:rPr>
        <w:t>sungen auf</w:t>
      </w:r>
      <w:r w:rsidR="00886CD8" w:rsidRPr="007916D6">
        <w:rPr>
          <w:lang w:val="de-DE"/>
        </w:rPr>
        <w:t>.</w:t>
      </w:r>
    </w:p>
    <w:p w:rsidR="00886CD8" w:rsidRPr="007916D6" w:rsidRDefault="00886CD8" w:rsidP="008010F8">
      <w:pPr>
        <w:rPr>
          <w:lang w:val="de-DE"/>
        </w:rPr>
      </w:pPr>
    </w:p>
    <w:p w:rsidR="00886CD8" w:rsidRPr="007916D6" w:rsidRDefault="00886CD8" w:rsidP="008010F8">
      <w:pPr>
        <w:rPr>
          <w:lang w:val="de-DE"/>
        </w:rPr>
      </w:pPr>
      <w:r w:rsidRPr="007916D6">
        <w:rPr>
          <w:lang w:val="de-DE"/>
        </w:rPr>
        <w:t xml:space="preserve">Von Oktober bis zum Jahresende verbesserte sich </w:t>
      </w:r>
      <w:r w:rsidR="00EB1F6D" w:rsidRPr="007916D6">
        <w:rPr>
          <w:lang w:val="de-DE"/>
        </w:rPr>
        <w:t xml:space="preserve">im größten Teil des Gebiets </w:t>
      </w:r>
      <w:r w:rsidRPr="007916D6">
        <w:rPr>
          <w:lang w:val="de-DE"/>
        </w:rPr>
        <w:t>der Zustand der flachen Grundwasserleiter</w:t>
      </w:r>
      <w:r w:rsidR="00EB1F6D" w:rsidRPr="007916D6">
        <w:rPr>
          <w:lang w:val="de-DE"/>
        </w:rPr>
        <w:t xml:space="preserve"> leicht</w:t>
      </w:r>
      <w:r w:rsidRPr="007916D6">
        <w:rPr>
          <w:lang w:val="de-DE"/>
        </w:rPr>
        <w:t>, die Werte vo</w:t>
      </w:r>
      <w:r w:rsidR="00603F8F" w:rsidRPr="007916D6">
        <w:rPr>
          <w:lang w:val="de-DE"/>
        </w:rPr>
        <w:t>m</w:t>
      </w:r>
      <w:r w:rsidRPr="007916D6">
        <w:rPr>
          <w:lang w:val="de-DE"/>
        </w:rPr>
        <w:t xml:space="preserve"> Jahres</w:t>
      </w:r>
      <w:r w:rsidR="00603F8F" w:rsidRPr="007916D6">
        <w:rPr>
          <w:lang w:val="de-DE"/>
        </w:rPr>
        <w:t>anfang</w:t>
      </w:r>
      <w:r w:rsidRPr="007916D6">
        <w:rPr>
          <w:lang w:val="de-DE"/>
        </w:rPr>
        <w:t xml:space="preserve"> wurden </w:t>
      </w:r>
      <w:r w:rsidR="00BB6520" w:rsidRPr="007916D6">
        <w:rPr>
          <w:lang w:val="de-DE"/>
        </w:rPr>
        <w:t xml:space="preserve">aber </w:t>
      </w:r>
      <w:r w:rsidRPr="007916D6">
        <w:rPr>
          <w:lang w:val="de-DE"/>
        </w:rPr>
        <w:t>nicht erreicht. Am günstigsten war d</w:t>
      </w:r>
      <w:r w:rsidR="00603F8F" w:rsidRPr="007916D6">
        <w:rPr>
          <w:lang w:val="de-DE"/>
        </w:rPr>
        <w:t>i</w:t>
      </w:r>
      <w:r w:rsidRPr="007916D6">
        <w:rPr>
          <w:lang w:val="de-DE"/>
        </w:rPr>
        <w:t>e S</w:t>
      </w:r>
      <w:r w:rsidR="00603F8F" w:rsidRPr="007916D6">
        <w:rPr>
          <w:lang w:val="de-DE"/>
        </w:rPr>
        <w:t>ituation</w:t>
      </w:r>
      <w:r w:rsidRPr="007916D6">
        <w:rPr>
          <w:lang w:val="de-DE"/>
        </w:rPr>
        <w:t xml:space="preserve"> in den Teileinzugsgebieten der </w:t>
      </w:r>
      <w:proofErr w:type="spellStart"/>
      <w:r w:rsidRPr="007916D6">
        <w:rPr>
          <w:lang w:val="de-DE"/>
        </w:rPr>
        <w:t>Berounka</w:t>
      </w:r>
      <w:proofErr w:type="spellEnd"/>
      <w:r w:rsidRPr="007916D6">
        <w:rPr>
          <w:lang w:val="de-DE"/>
        </w:rPr>
        <w:t xml:space="preserve">, der Unteren Moldau und einem Teil des Teileinzugsgebiets der Eger, der tschechischen unteren Elbe und anderer </w:t>
      </w:r>
      <w:r w:rsidR="00BB6520" w:rsidRPr="007916D6">
        <w:rPr>
          <w:lang w:val="de-DE"/>
        </w:rPr>
        <w:t>Elben</w:t>
      </w:r>
      <w:r w:rsidRPr="007916D6">
        <w:rPr>
          <w:lang w:val="de-DE"/>
        </w:rPr>
        <w:t>ebenflüsse, in denen der Wassers</w:t>
      </w:r>
      <w:r w:rsidR="00EB1F6D" w:rsidRPr="007916D6">
        <w:rPr>
          <w:lang w:val="de-DE"/>
        </w:rPr>
        <w:t>piegel</w:t>
      </w:r>
      <w:r w:rsidRPr="007916D6">
        <w:rPr>
          <w:lang w:val="de-DE"/>
        </w:rPr>
        <w:t xml:space="preserve"> </w:t>
      </w:r>
      <w:r w:rsidR="00603F8F" w:rsidRPr="007916D6">
        <w:rPr>
          <w:lang w:val="de-DE"/>
        </w:rPr>
        <w:t xml:space="preserve">zum Jahresende </w:t>
      </w:r>
      <w:r w:rsidRPr="007916D6">
        <w:rPr>
          <w:lang w:val="de-DE"/>
        </w:rPr>
        <w:t>in den meisten Flachbohrungen d</w:t>
      </w:r>
      <w:r w:rsidR="00603F8F" w:rsidRPr="007916D6">
        <w:rPr>
          <w:lang w:val="de-DE"/>
        </w:rPr>
        <w:t>as</w:t>
      </w:r>
      <w:r w:rsidRPr="007916D6">
        <w:rPr>
          <w:lang w:val="de-DE"/>
        </w:rPr>
        <w:t xml:space="preserve"> normale </w:t>
      </w:r>
      <w:r w:rsidR="00603F8F" w:rsidRPr="007916D6">
        <w:rPr>
          <w:lang w:val="de-DE"/>
        </w:rPr>
        <w:t>Niveau</w:t>
      </w:r>
      <w:r w:rsidRPr="007916D6">
        <w:rPr>
          <w:lang w:val="de-DE"/>
        </w:rPr>
        <w:t xml:space="preserve"> erreichte. Auch im Teileinzugsgebiet der </w:t>
      </w:r>
      <w:r w:rsidR="00BB6520" w:rsidRPr="007916D6">
        <w:rPr>
          <w:lang w:val="de-DE"/>
        </w:rPr>
        <w:t>tschechischen O</w:t>
      </w:r>
      <w:r w:rsidRPr="007916D6">
        <w:rPr>
          <w:lang w:val="de-DE"/>
        </w:rPr>
        <w:t>beren und mittl</w:t>
      </w:r>
      <w:r w:rsidRPr="007916D6">
        <w:rPr>
          <w:lang w:val="de-DE"/>
        </w:rPr>
        <w:t>e</w:t>
      </w:r>
      <w:r w:rsidRPr="007916D6">
        <w:rPr>
          <w:lang w:val="de-DE"/>
        </w:rPr>
        <w:t>ren Elbe verbesserte sich die Situation bedeutend.</w:t>
      </w:r>
    </w:p>
    <w:p w:rsidR="00886CD8" w:rsidRPr="007916D6" w:rsidRDefault="00886CD8" w:rsidP="008010F8">
      <w:pPr>
        <w:rPr>
          <w:lang w:val="de-DE"/>
        </w:rPr>
      </w:pPr>
    </w:p>
    <w:p w:rsidR="00886CD8" w:rsidRPr="007916D6" w:rsidRDefault="00603F8F" w:rsidP="008010F8">
      <w:pPr>
        <w:rPr>
          <w:lang w:val="de-DE"/>
        </w:rPr>
      </w:pPr>
      <w:r w:rsidRPr="007916D6">
        <w:rPr>
          <w:lang w:val="de-DE"/>
        </w:rPr>
        <w:t>Aus</w:t>
      </w:r>
      <w:r w:rsidR="00886CD8" w:rsidRPr="007916D6">
        <w:rPr>
          <w:lang w:val="de-DE"/>
        </w:rPr>
        <w:t xml:space="preserve"> längerfristige</w:t>
      </w:r>
      <w:r w:rsidRPr="007916D6">
        <w:rPr>
          <w:lang w:val="de-DE"/>
        </w:rPr>
        <w:t>r</w:t>
      </w:r>
      <w:r w:rsidR="00886CD8" w:rsidRPr="007916D6">
        <w:rPr>
          <w:lang w:val="de-DE"/>
        </w:rPr>
        <w:t xml:space="preserve"> </w:t>
      </w:r>
      <w:r w:rsidRPr="007916D6">
        <w:rPr>
          <w:lang w:val="de-DE"/>
        </w:rPr>
        <w:t>Sicht</w:t>
      </w:r>
      <w:r w:rsidR="00886CD8" w:rsidRPr="007916D6">
        <w:rPr>
          <w:lang w:val="de-DE"/>
        </w:rPr>
        <w:t xml:space="preserve"> waren die flachen Grundwasserleiter 2015 ähnlich </w:t>
      </w:r>
      <w:r w:rsidR="00AF47F3" w:rsidRPr="007916D6">
        <w:rPr>
          <w:lang w:val="de-DE"/>
        </w:rPr>
        <w:t>wie 1992</w:t>
      </w:r>
      <w:r w:rsidRPr="007916D6">
        <w:rPr>
          <w:lang w:val="de-DE"/>
        </w:rPr>
        <w:t xml:space="preserve"> bzw.</w:t>
      </w:r>
      <w:r w:rsidR="00AF47F3" w:rsidRPr="007916D6">
        <w:rPr>
          <w:lang w:val="de-DE"/>
        </w:rPr>
        <w:t xml:space="preserve"> </w:t>
      </w:r>
      <w:r w:rsidR="00886CD8" w:rsidRPr="007916D6">
        <w:rPr>
          <w:lang w:val="de-DE"/>
        </w:rPr>
        <w:t>2004, aber 2015 war nicht das trockenste Jahr</w:t>
      </w:r>
      <w:r w:rsidR="009E19BB" w:rsidRPr="007916D6">
        <w:rPr>
          <w:lang w:val="de-DE"/>
        </w:rPr>
        <w:t>. Die trockenste</w:t>
      </w:r>
      <w:r w:rsidR="009F7302" w:rsidRPr="007916D6">
        <w:rPr>
          <w:lang w:val="de-DE"/>
        </w:rPr>
        <w:t>n</w:t>
      </w:r>
      <w:r w:rsidR="009E19BB" w:rsidRPr="007916D6">
        <w:rPr>
          <w:lang w:val="de-DE"/>
        </w:rPr>
        <w:t xml:space="preserve"> Zeit</w:t>
      </w:r>
      <w:r w:rsidR="009F7302" w:rsidRPr="007916D6">
        <w:rPr>
          <w:lang w:val="de-DE"/>
        </w:rPr>
        <w:t>räume</w:t>
      </w:r>
      <w:r w:rsidR="009E19BB" w:rsidRPr="007916D6">
        <w:rPr>
          <w:lang w:val="de-DE"/>
        </w:rPr>
        <w:t xml:space="preserve"> mit dem insgesamt nie</w:t>
      </w:r>
      <w:r w:rsidR="009E19BB" w:rsidRPr="007916D6">
        <w:rPr>
          <w:lang w:val="de-DE"/>
        </w:rPr>
        <w:t>d</w:t>
      </w:r>
      <w:r w:rsidR="009E19BB" w:rsidRPr="007916D6">
        <w:rPr>
          <w:lang w:val="de-DE"/>
        </w:rPr>
        <w:t>rigsten Grundwasser</w:t>
      </w:r>
      <w:r w:rsidR="00EB1F6D" w:rsidRPr="007916D6">
        <w:rPr>
          <w:lang w:val="de-DE"/>
        </w:rPr>
        <w:t>niveau</w:t>
      </w:r>
      <w:r w:rsidR="009E19BB" w:rsidRPr="007916D6">
        <w:rPr>
          <w:lang w:val="de-DE"/>
        </w:rPr>
        <w:t xml:space="preserve"> seit 1981 waren die Jahre 1991 und insbesondere 1993.</w:t>
      </w:r>
    </w:p>
    <w:p w:rsidR="009E19BB" w:rsidRPr="007916D6" w:rsidRDefault="009E19BB" w:rsidP="008010F8">
      <w:pPr>
        <w:rPr>
          <w:lang w:val="de-DE"/>
        </w:rPr>
      </w:pPr>
    </w:p>
    <w:p w:rsidR="0056178E" w:rsidRPr="00E56594" w:rsidRDefault="0056178E" w:rsidP="0056178E">
      <w:pPr>
        <w:rPr>
          <w:lang w:val="de-DE"/>
        </w:rPr>
      </w:pPr>
      <w:r w:rsidRPr="00E56594">
        <w:rPr>
          <w:lang w:val="de-DE"/>
        </w:rPr>
        <w:t>Starke bis vereinzelt extreme Niedrigwasserverhältnisse tr</w:t>
      </w:r>
      <w:r w:rsidR="00694DF2" w:rsidRPr="00E56594">
        <w:rPr>
          <w:lang w:val="de-DE"/>
        </w:rPr>
        <w:t>a</w:t>
      </w:r>
      <w:r w:rsidRPr="00E56594">
        <w:rPr>
          <w:lang w:val="de-DE"/>
        </w:rPr>
        <w:t xml:space="preserve">ten im Sommer und Herbst </w:t>
      </w:r>
      <w:r w:rsidR="00694DF2" w:rsidRPr="00E56594">
        <w:rPr>
          <w:lang w:val="de-DE"/>
        </w:rPr>
        <w:t xml:space="preserve">2015 </w:t>
      </w:r>
      <w:r w:rsidRPr="00E56594">
        <w:rPr>
          <w:lang w:val="de-DE"/>
        </w:rPr>
        <w:t>in den Messstellen des Thüringer Keuperbeckens sowie im Muschelkalkausstrich des nördlichen Thüringer Beckens (Hainich / Dün-Hainleite) auf. In der Nähe von Wasserscheiden ka</w:t>
      </w:r>
      <w:r w:rsidR="00694DF2" w:rsidRPr="00E56594">
        <w:rPr>
          <w:lang w:val="de-DE"/>
        </w:rPr>
        <w:t>m</w:t>
      </w:r>
      <w:r w:rsidRPr="00E56594">
        <w:rPr>
          <w:lang w:val="de-DE"/>
        </w:rPr>
        <w:t xml:space="preserve"> es in dieser Zeit auch zu starken bis extremen Niedrigwasserbedingungen (siehe am Rennsteig bzw. Saale – Weiße Elster im Thür. Schiefergebirge). Im Buntsandsteinausstrich des Thüringer B</w:t>
      </w:r>
      <w:r w:rsidRPr="00E56594">
        <w:rPr>
          <w:lang w:val="de-DE"/>
        </w:rPr>
        <w:t>e</w:t>
      </w:r>
      <w:r w:rsidRPr="00E56594">
        <w:rPr>
          <w:lang w:val="de-DE"/>
        </w:rPr>
        <w:t>ckens zeigt</w:t>
      </w:r>
      <w:r w:rsidR="00694DF2" w:rsidRPr="00E56594">
        <w:rPr>
          <w:lang w:val="de-DE"/>
        </w:rPr>
        <w:t>e</w:t>
      </w:r>
      <w:r w:rsidRPr="00E56594">
        <w:rPr>
          <w:lang w:val="de-DE"/>
        </w:rPr>
        <w:t xml:space="preserve"> das Jahr 2015 Grundwasserstände im Normalbereich bis hin zu leichten Hoc</w:t>
      </w:r>
      <w:r w:rsidRPr="00E56594">
        <w:rPr>
          <w:lang w:val="de-DE"/>
        </w:rPr>
        <w:t>h</w:t>
      </w:r>
      <w:r w:rsidRPr="00E56594">
        <w:rPr>
          <w:lang w:val="de-DE"/>
        </w:rPr>
        <w:t>wasserverhältnissen.</w:t>
      </w:r>
    </w:p>
    <w:p w:rsidR="007916D6" w:rsidRPr="00E56594" w:rsidRDefault="007916D6" w:rsidP="0056178E">
      <w:pPr>
        <w:rPr>
          <w:lang w:val="de-DE"/>
        </w:rPr>
      </w:pPr>
    </w:p>
    <w:p w:rsidR="009C16C8" w:rsidRPr="00E56594" w:rsidRDefault="0056178E" w:rsidP="0056178E">
      <w:pPr>
        <w:rPr>
          <w:lang w:val="de-DE"/>
        </w:rPr>
      </w:pPr>
      <w:r w:rsidRPr="00E56594">
        <w:rPr>
          <w:lang w:val="de-DE"/>
        </w:rPr>
        <w:t>Für die Region der pleistozänen Urstromtäler im Nordosten Sachsen-Anhalts wurde</w:t>
      </w:r>
      <w:r w:rsidR="00150CF0" w:rsidRPr="00E56594">
        <w:rPr>
          <w:lang w:val="de-DE"/>
        </w:rPr>
        <w:t>n</w:t>
      </w:r>
      <w:r w:rsidRPr="00E56594">
        <w:rPr>
          <w:lang w:val="de-DE"/>
        </w:rPr>
        <w:t xml:space="preserve"> ab Mai / Juni 2015 </w:t>
      </w:r>
      <w:r w:rsidR="00EA0F15" w:rsidRPr="00E56594">
        <w:rPr>
          <w:lang w:val="de-DE"/>
        </w:rPr>
        <w:t>neben Bereichen mit normalen Grundwasserverhältnissen</w:t>
      </w:r>
      <w:r w:rsidR="00EA0F15" w:rsidRPr="00E56594" w:rsidDel="00150CF0">
        <w:rPr>
          <w:lang w:val="de-DE"/>
        </w:rPr>
        <w:t xml:space="preserve"> </w:t>
      </w:r>
      <w:r w:rsidR="00EA0F15" w:rsidRPr="00E56594">
        <w:rPr>
          <w:lang w:val="de-DE"/>
        </w:rPr>
        <w:t xml:space="preserve">auch Gebiete mit </w:t>
      </w:r>
      <w:r w:rsidRPr="00E56594">
        <w:rPr>
          <w:lang w:val="de-DE"/>
        </w:rPr>
        <w:t xml:space="preserve">stark </w:t>
      </w:r>
      <w:r w:rsidR="00EA0F15" w:rsidRPr="00E56594">
        <w:rPr>
          <w:lang w:val="de-DE"/>
        </w:rPr>
        <w:t>ausgeprägte</w:t>
      </w:r>
      <w:r w:rsidR="00C306CB" w:rsidRPr="00E56594">
        <w:rPr>
          <w:lang w:val="de-DE"/>
        </w:rPr>
        <w:t>r</w:t>
      </w:r>
      <w:r w:rsidR="00EA0F15" w:rsidRPr="00E56594">
        <w:rPr>
          <w:lang w:val="de-DE"/>
        </w:rPr>
        <w:t xml:space="preserve"> </w:t>
      </w:r>
      <w:r w:rsidRPr="00E56594">
        <w:rPr>
          <w:lang w:val="de-DE"/>
        </w:rPr>
        <w:t>Niedrigwassersituation registriert, wobei lokal eine seit 2014 andauernde Unte</w:t>
      </w:r>
      <w:r w:rsidRPr="00E56594">
        <w:rPr>
          <w:lang w:val="de-DE"/>
        </w:rPr>
        <w:t>r</w:t>
      </w:r>
      <w:r w:rsidRPr="00E56594">
        <w:rPr>
          <w:lang w:val="de-DE"/>
        </w:rPr>
        <w:t>schreitung des langjährigen Mittels beobachtet werden konnte. In den geologischen Einheiten Sander und Grundmoränen</w:t>
      </w:r>
      <w:r w:rsidR="00694DF2" w:rsidRPr="00E56594">
        <w:rPr>
          <w:lang w:val="de-DE"/>
        </w:rPr>
        <w:t xml:space="preserve"> im Nordosten Sachsen-Anhalts</w:t>
      </w:r>
      <w:r w:rsidRPr="00E56594">
        <w:rPr>
          <w:lang w:val="de-DE"/>
        </w:rPr>
        <w:t xml:space="preserve"> wurden innerhalb des Jahres 2015 </w:t>
      </w:r>
      <w:r w:rsidR="003B5606" w:rsidRPr="00E56594">
        <w:rPr>
          <w:lang w:val="de-DE"/>
        </w:rPr>
        <w:t xml:space="preserve">normale bis extrem niedrige </w:t>
      </w:r>
      <w:r w:rsidRPr="00E56594">
        <w:rPr>
          <w:lang w:val="de-DE"/>
        </w:rPr>
        <w:t>Grundwasserstände beobachtet. So zeig</w:t>
      </w:r>
      <w:r w:rsidR="00694DF2" w:rsidRPr="00E56594">
        <w:rPr>
          <w:lang w:val="de-DE"/>
        </w:rPr>
        <w:t>t</w:t>
      </w:r>
      <w:r w:rsidRPr="00E56594">
        <w:rPr>
          <w:lang w:val="de-DE"/>
        </w:rPr>
        <w:t xml:space="preserve">en einzelne Messstellen ab August 2015 Extremunterschreitungen </w:t>
      </w:r>
      <w:r w:rsidR="003B5606" w:rsidRPr="00E56594">
        <w:rPr>
          <w:lang w:val="de-DE"/>
        </w:rPr>
        <w:t xml:space="preserve">des Mittelwertes </w:t>
      </w:r>
      <w:r w:rsidRPr="00E56594">
        <w:rPr>
          <w:lang w:val="de-DE"/>
        </w:rPr>
        <w:t xml:space="preserve">(Kategorie </w:t>
      </w:r>
      <w:r w:rsidR="006960D6" w:rsidRPr="00E56594">
        <w:rPr>
          <w:lang w:val="de-DE"/>
        </w:rPr>
        <w:t>&lt;P5</w:t>
      </w:r>
      <w:r w:rsidRPr="00E56594">
        <w:rPr>
          <w:lang w:val="de-DE"/>
        </w:rPr>
        <w:t>). Andere Messste</w:t>
      </w:r>
      <w:r w:rsidRPr="00E56594">
        <w:rPr>
          <w:lang w:val="de-DE"/>
        </w:rPr>
        <w:t>l</w:t>
      </w:r>
      <w:r w:rsidRPr="00E56594">
        <w:rPr>
          <w:lang w:val="de-DE"/>
        </w:rPr>
        <w:t xml:space="preserve">len in den gleichen Einheiten wiesen im August bzw. Oktober 2015 Grundwasserstände auf, die als </w:t>
      </w:r>
      <w:r w:rsidR="006960D6" w:rsidRPr="00E56594">
        <w:rPr>
          <w:lang w:val="de-DE"/>
        </w:rPr>
        <w:t>normal</w:t>
      </w:r>
      <w:r w:rsidRPr="00E56594">
        <w:rPr>
          <w:lang w:val="de-DE"/>
        </w:rPr>
        <w:t xml:space="preserve"> (Kategorie </w:t>
      </w:r>
      <w:r w:rsidR="006960D6" w:rsidRPr="00E56594">
        <w:rPr>
          <w:lang w:val="de-DE"/>
        </w:rPr>
        <w:t>&gt;P</w:t>
      </w:r>
      <w:r w:rsidRPr="00E56594">
        <w:rPr>
          <w:lang w:val="de-DE"/>
        </w:rPr>
        <w:t>25-</w:t>
      </w:r>
      <w:r w:rsidR="006960D6" w:rsidRPr="00E56594">
        <w:rPr>
          <w:lang w:val="de-DE"/>
        </w:rPr>
        <w:t>P</w:t>
      </w:r>
      <w:r w:rsidRPr="00E56594">
        <w:rPr>
          <w:lang w:val="de-DE"/>
        </w:rPr>
        <w:t xml:space="preserve">75) eingestuft werden können. Für die Festgesteinsregion </w:t>
      </w:r>
      <w:r w:rsidR="00694DF2" w:rsidRPr="00E56594">
        <w:rPr>
          <w:lang w:val="de-DE"/>
        </w:rPr>
        <w:t xml:space="preserve">der </w:t>
      </w:r>
      <w:proofErr w:type="spellStart"/>
      <w:r w:rsidR="00694DF2" w:rsidRPr="00E56594">
        <w:rPr>
          <w:lang w:val="de-DE"/>
        </w:rPr>
        <w:t>subherzynen</w:t>
      </w:r>
      <w:proofErr w:type="spellEnd"/>
      <w:r w:rsidR="00694DF2" w:rsidRPr="00E56594">
        <w:rPr>
          <w:lang w:val="de-DE"/>
        </w:rPr>
        <w:t xml:space="preserve"> Senke </w:t>
      </w:r>
      <w:r w:rsidRPr="00E56594">
        <w:rPr>
          <w:lang w:val="de-DE"/>
        </w:rPr>
        <w:t>k</w:t>
      </w:r>
      <w:r w:rsidR="00694DF2" w:rsidRPr="00E56594">
        <w:rPr>
          <w:lang w:val="de-DE"/>
        </w:rPr>
        <w:t>onnte</w:t>
      </w:r>
      <w:r w:rsidRPr="00E56594">
        <w:rPr>
          <w:lang w:val="de-DE"/>
        </w:rPr>
        <w:t xml:space="preserve"> für 2015 keine signifikante Unterschreitung der Mittelwasserstände des Bezugszeitraumes festgestellt werden. Die ausgewählten Festgesteinsmessstellen im sü</w:t>
      </w:r>
      <w:r w:rsidRPr="00E56594">
        <w:rPr>
          <w:lang w:val="de-DE"/>
        </w:rPr>
        <w:t>d</w:t>
      </w:r>
      <w:r w:rsidRPr="00E56594">
        <w:rPr>
          <w:lang w:val="de-DE"/>
        </w:rPr>
        <w:t xml:space="preserve">westlichen Bereich Sachsen-Anhalts zeigten generell erst ab Dezember 2015 Werte, die sich innerhalb des normalen </w:t>
      </w:r>
      <w:r w:rsidR="009D3A96" w:rsidRPr="00E56594">
        <w:rPr>
          <w:lang w:val="de-DE"/>
        </w:rPr>
        <w:t xml:space="preserve">Niveaus </w:t>
      </w:r>
      <w:r w:rsidRPr="00E56594">
        <w:rPr>
          <w:lang w:val="de-DE"/>
        </w:rPr>
        <w:t xml:space="preserve">(Kategorie </w:t>
      </w:r>
      <w:r w:rsidR="006960D6" w:rsidRPr="00E56594">
        <w:rPr>
          <w:lang w:val="de-DE"/>
        </w:rPr>
        <w:t>&gt;P</w:t>
      </w:r>
      <w:r w:rsidRPr="00E56594">
        <w:rPr>
          <w:lang w:val="de-DE"/>
        </w:rPr>
        <w:t>25-</w:t>
      </w:r>
      <w:r w:rsidR="006960D6" w:rsidRPr="00E56594">
        <w:rPr>
          <w:lang w:val="de-DE"/>
        </w:rPr>
        <w:t>P</w:t>
      </w:r>
      <w:r w:rsidRPr="00E56594">
        <w:rPr>
          <w:lang w:val="de-DE"/>
        </w:rPr>
        <w:t>75) bewegten. Die beobachteten Grun</w:t>
      </w:r>
      <w:r w:rsidRPr="00E56594">
        <w:rPr>
          <w:lang w:val="de-DE"/>
        </w:rPr>
        <w:t>d</w:t>
      </w:r>
      <w:r w:rsidRPr="00E56594">
        <w:rPr>
          <w:lang w:val="de-DE"/>
        </w:rPr>
        <w:t xml:space="preserve">wasserstände der </w:t>
      </w:r>
      <w:r w:rsidR="00694DF2" w:rsidRPr="00E56594">
        <w:rPr>
          <w:lang w:val="de-DE"/>
        </w:rPr>
        <w:t xml:space="preserve">in dieser Region ausstreichenden </w:t>
      </w:r>
      <w:r w:rsidRPr="00E56594">
        <w:rPr>
          <w:lang w:val="de-DE"/>
        </w:rPr>
        <w:t>quartären Talsedimente lassen eine diff</w:t>
      </w:r>
      <w:r w:rsidRPr="00E56594">
        <w:rPr>
          <w:lang w:val="de-DE"/>
        </w:rPr>
        <w:t>e</w:t>
      </w:r>
      <w:r w:rsidRPr="00E56594">
        <w:rPr>
          <w:lang w:val="de-DE"/>
        </w:rPr>
        <w:t>renzierte Niedrigwassersituation erkennen. Während in den Tieflagen des Harzes und im südl</w:t>
      </w:r>
      <w:r w:rsidRPr="00E56594">
        <w:rPr>
          <w:lang w:val="de-DE"/>
        </w:rPr>
        <w:t>i</w:t>
      </w:r>
      <w:r w:rsidRPr="00E56594">
        <w:rPr>
          <w:lang w:val="de-DE"/>
        </w:rPr>
        <w:t xml:space="preserve">chen Bereich </w:t>
      </w:r>
      <w:r w:rsidR="00694DF2" w:rsidRPr="00E56594">
        <w:rPr>
          <w:lang w:val="de-DE"/>
        </w:rPr>
        <w:t>Sachsen-Anhalts</w:t>
      </w:r>
      <w:r w:rsidRPr="00E56594">
        <w:rPr>
          <w:lang w:val="de-DE"/>
        </w:rPr>
        <w:t xml:space="preserve"> in den Sommermonaten 2015 Extremunterschreitungen (Kat</w:t>
      </w:r>
      <w:r w:rsidRPr="00E56594">
        <w:rPr>
          <w:lang w:val="de-DE"/>
        </w:rPr>
        <w:t>e</w:t>
      </w:r>
      <w:r w:rsidRPr="00E56594">
        <w:rPr>
          <w:lang w:val="de-DE"/>
        </w:rPr>
        <w:t xml:space="preserve">gorie </w:t>
      </w:r>
      <w:r w:rsidR="006960D6" w:rsidRPr="00E56594">
        <w:rPr>
          <w:lang w:val="de-DE"/>
        </w:rPr>
        <w:t>&lt;P5</w:t>
      </w:r>
      <w:r w:rsidRPr="00E56594">
        <w:rPr>
          <w:lang w:val="de-DE"/>
        </w:rPr>
        <w:t>) bzw. starke</w:t>
      </w:r>
      <w:r w:rsidR="00AF0CB0" w:rsidRPr="00E56594">
        <w:rPr>
          <w:lang w:val="de-DE"/>
        </w:rPr>
        <w:t xml:space="preserve"> bis mäßige</w:t>
      </w:r>
      <w:r w:rsidRPr="00E56594">
        <w:rPr>
          <w:lang w:val="de-DE"/>
        </w:rPr>
        <w:t xml:space="preserve"> Unterschreitungen (Kategorie </w:t>
      </w:r>
      <w:r w:rsidR="006960D6" w:rsidRPr="00E56594">
        <w:rPr>
          <w:lang w:val="de-DE"/>
        </w:rPr>
        <w:t>P5-P25</w:t>
      </w:r>
      <w:r w:rsidRPr="00E56594">
        <w:rPr>
          <w:lang w:val="de-DE"/>
        </w:rPr>
        <w:t>) des Mittelwasse</w:t>
      </w:r>
      <w:r w:rsidRPr="00E56594">
        <w:rPr>
          <w:lang w:val="de-DE"/>
        </w:rPr>
        <w:t>r</w:t>
      </w:r>
      <w:r w:rsidRPr="00E56594">
        <w:rPr>
          <w:lang w:val="de-DE"/>
        </w:rPr>
        <w:t>standes des Bezugszeitraumes registriert wurden, k</w:t>
      </w:r>
      <w:r w:rsidR="00694DF2" w:rsidRPr="00E56594">
        <w:rPr>
          <w:lang w:val="de-DE"/>
        </w:rPr>
        <w:t>on</w:t>
      </w:r>
      <w:r w:rsidRPr="00E56594">
        <w:rPr>
          <w:lang w:val="de-DE"/>
        </w:rPr>
        <w:t>n</w:t>
      </w:r>
      <w:r w:rsidR="00694DF2" w:rsidRPr="00E56594">
        <w:rPr>
          <w:lang w:val="de-DE"/>
        </w:rPr>
        <w:t>te</w:t>
      </w:r>
      <w:r w:rsidRPr="00E56594">
        <w:rPr>
          <w:lang w:val="de-DE"/>
        </w:rPr>
        <w:t xml:space="preserve"> im südlichen Salzlandkreis keine Niedrigwassersituation nachgewiesen werden</w:t>
      </w:r>
      <w:r w:rsidR="009C16C8" w:rsidRPr="00E56594">
        <w:rPr>
          <w:lang w:val="de-DE"/>
        </w:rPr>
        <w:t xml:space="preserve">. </w:t>
      </w:r>
    </w:p>
    <w:p w:rsidR="00F314BD" w:rsidRPr="00E56594" w:rsidRDefault="00F314BD" w:rsidP="00F314BD">
      <w:pPr>
        <w:rPr>
          <w:rFonts w:cs="Arial"/>
          <w:szCs w:val="22"/>
          <w:lang w:val="de-DE"/>
        </w:rPr>
      </w:pPr>
    </w:p>
    <w:p w:rsidR="00F314BD" w:rsidRPr="00E56594" w:rsidRDefault="00F314BD" w:rsidP="00F314BD">
      <w:pPr>
        <w:rPr>
          <w:rFonts w:cs="Arial"/>
          <w:szCs w:val="22"/>
          <w:lang w:val="de-DE"/>
        </w:rPr>
      </w:pPr>
      <w:r w:rsidRPr="00E56594">
        <w:rPr>
          <w:rFonts w:cs="Arial"/>
          <w:szCs w:val="22"/>
          <w:lang w:val="de-DE"/>
        </w:rPr>
        <w:t>Für die Regionen der Urstromtäler in Brandenburg wurde 2015 überwiegend eine Normalsitu</w:t>
      </w:r>
      <w:r w:rsidRPr="00E56594">
        <w:rPr>
          <w:rFonts w:cs="Arial"/>
          <w:szCs w:val="22"/>
          <w:lang w:val="de-DE"/>
        </w:rPr>
        <w:t>a</w:t>
      </w:r>
      <w:r w:rsidRPr="00E56594">
        <w:rPr>
          <w:rFonts w:cs="Arial"/>
          <w:szCs w:val="22"/>
          <w:lang w:val="de-DE"/>
        </w:rPr>
        <w:t>tion der Grundwasserstände beobachtet, die zur Jahresmitte teilweise in eine mäßige Niedri</w:t>
      </w:r>
      <w:r w:rsidRPr="00E56594">
        <w:rPr>
          <w:rFonts w:cs="Arial"/>
          <w:szCs w:val="22"/>
          <w:lang w:val="de-DE"/>
        </w:rPr>
        <w:t>g</w:t>
      </w:r>
      <w:r w:rsidRPr="00E56594">
        <w:rPr>
          <w:rFonts w:cs="Arial"/>
          <w:szCs w:val="22"/>
          <w:lang w:val="de-DE"/>
        </w:rPr>
        <w:t>wassersituation überging. Im östlichen und südöstlichen Brandenburger Elbeeinzugsgebiet wurden abweichend davon vereinzelt starke bis extreme Unterschreitungen der Mittelwerte r</w:t>
      </w:r>
      <w:r w:rsidRPr="00E56594">
        <w:rPr>
          <w:rFonts w:cs="Arial"/>
          <w:szCs w:val="22"/>
          <w:lang w:val="de-DE"/>
        </w:rPr>
        <w:t>e</w:t>
      </w:r>
      <w:r w:rsidRPr="00E56594">
        <w:rPr>
          <w:rFonts w:cs="Arial"/>
          <w:szCs w:val="22"/>
          <w:lang w:val="de-DE"/>
        </w:rPr>
        <w:t xml:space="preserve">gistriert Dagegen lagen in den Hochflächenbereichen Brandenburgs  die Grundwasserstände im Normalbereich bzw. unterschritten diesen mäßig. In nur lokal verbreiteten, geringmächtigen Hochflächensanden und </w:t>
      </w:r>
      <w:proofErr w:type="spellStart"/>
      <w:r w:rsidRPr="00E56594">
        <w:rPr>
          <w:rFonts w:cs="Arial"/>
          <w:szCs w:val="22"/>
          <w:lang w:val="de-DE"/>
        </w:rPr>
        <w:t>Sandern</w:t>
      </w:r>
      <w:proofErr w:type="spellEnd"/>
      <w:r w:rsidRPr="00E56594">
        <w:rPr>
          <w:rFonts w:cs="Arial"/>
          <w:szCs w:val="22"/>
          <w:lang w:val="de-DE"/>
        </w:rPr>
        <w:t xml:space="preserve"> sowie in Bereichen von Wasserscheiden traten vereinzelt mäßig bis extrem starke Niedrigwassersituationen ein.</w:t>
      </w:r>
    </w:p>
    <w:p w:rsidR="008F799D" w:rsidRPr="00E56594" w:rsidRDefault="008F799D" w:rsidP="00F314BD">
      <w:pPr>
        <w:rPr>
          <w:rFonts w:cs="Arial"/>
          <w:szCs w:val="22"/>
          <w:lang w:val="de-DE"/>
        </w:rPr>
      </w:pPr>
    </w:p>
    <w:p w:rsidR="00584049" w:rsidRPr="00E56594" w:rsidRDefault="00C87592" w:rsidP="00F314BD">
      <w:pPr>
        <w:rPr>
          <w:lang w:val="de-DE"/>
        </w:rPr>
      </w:pPr>
      <w:r w:rsidRPr="00E56594">
        <w:rPr>
          <w:lang w:val="de-DE"/>
        </w:rPr>
        <w:t xml:space="preserve">Im nord- und mitteldeutschen Mittelpleistozän Niedersachsens konnte im </w:t>
      </w:r>
      <w:r w:rsidRPr="007B4F34">
        <w:rPr>
          <w:lang w:val="de-DE"/>
        </w:rPr>
        <w:t>Juni</w:t>
      </w:r>
      <w:r w:rsidRPr="00E56594">
        <w:rPr>
          <w:lang w:val="de-DE"/>
        </w:rPr>
        <w:t xml:space="preserve"> 2015 ein im Ve</w:t>
      </w:r>
      <w:r w:rsidRPr="00E56594">
        <w:rPr>
          <w:lang w:val="de-DE"/>
        </w:rPr>
        <w:t>r</w:t>
      </w:r>
      <w:r w:rsidRPr="00E56594">
        <w:rPr>
          <w:lang w:val="de-DE"/>
        </w:rPr>
        <w:t>gleich zum langjährigen Monatsmittelwert durchschnittlich um 55 cm verringerter Monatsmitte</w:t>
      </w:r>
      <w:r w:rsidRPr="00E56594">
        <w:rPr>
          <w:lang w:val="de-DE"/>
        </w:rPr>
        <w:t>l</w:t>
      </w:r>
      <w:r w:rsidRPr="00E56594">
        <w:rPr>
          <w:lang w:val="de-DE"/>
        </w:rPr>
        <w:lastRenderedPageBreak/>
        <w:t xml:space="preserve">wert für die betrachteten Messstellen festgestellt werden, wobei diese Unterschreitung, wenn auch in geringerem Maße (25 cm) bereits im </w:t>
      </w:r>
      <w:r w:rsidRPr="007B4F34">
        <w:rPr>
          <w:lang w:val="de-DE"/>
        </w:rPr>
        <w:t>Juni 2014</w:t>
      </w:r>
      <w:r w:rsidRPr="00E56594">
        <w:rPr>
          <w:lang w:val="de-DE"/>
        </w:rPr>
        <w:t xml:space="preserve"> zu beobachten war. </w:t>
      </w:r>
    </w:p>
    <w:p w:rsidR="007916D6" w:rsidRPr="00E56594" w:rsidRDefault="007916D6" w:rsidP="00F314BD">
      <w:pPr>
        <w:rPr>
          <w:lang w:val="de-DE"/>
        </w:rPr>
      </w:pPr>
    </w:p>
    <w:p w:rsidR="003F3E72" w:rsidRPr="007916D6" w:rsidRDefault="00081D73" w:rsidP="008010F8">
      <w:pPr>
        <w:rPr>
          <w:lang w:val="de-DE"/>
        </w:rPr>
      </w:pPr>
      <w:r w:rsidRPr="00E56594">
        <w:rPr>
          <w:lang w:val="de-DE"/>
        </w:rPr>
        <w:t xml:space="preserve">In </w:t>
      </w:r>
      <w:r w:rsidR="008950A8" w:rsidRPr="00E56594">
        <w:rPr>
          <w:lang w:val="de-DE"/>
        </w:rPr>
        <w:t xml:space="preserve">den </w:t>
      </w:r>
      <w:r w:rsidRPr="00E56594">
        <w:rPr>
          <w:lang w:val="de-DE"/>
        </w:rPr>
        <w:t>Ländern S</w:t>
      </w:r>
      <w:r w:rsidR="00757B47" w:rsidRPr="00E56594">
        <w:rPr>
          <w:lang w:val="de-DE"/>
        </w:rPr>
        <w:t>achsen, Sachsen-Anhalt und Niedersachsen</w:t>
      </w:r>
      <w:r w:rsidRPr="00E56594">
        <w:rPr>
          <w:lang w:val="de-DE"/>
        </w:rPr>
        <w:t xml:space="preserve"> wurde die Auswertung des Ei</w:t>
      </w:r>
      <w:r w:rsidRPr="00E56594">
        <w:rPr>
          <w:lang w:val="de-DE"/>
        </w:rPr>
        <w:t>n</w:t>
      </w:r>
      <w:r w:rsidRPr="00E56594">
        <w:rPr>
          <w:lang w:val="de-DE"/>
        </w:rPr>
        <w:t xml:space="preserve">flusses des Trockenwetterjahres 2015 nicht speziell </w:t>
      </w:r>
      <w:r w:rsidR="008950A8" w:rsidRPr="00E56594">
        <w:rPr>
          <w:lang w:val="de-DE"/>
        </w:rPr>
        <w:t xml:space="preserve">auf Flach- bzw. </w:t>
      </w:r>
      <w:r w:rsidRPr="00E56594">
        <w:rPr>
          <w:lang w:val="de-DE"/>
        </w:rPr>
        <w:t>Tiefbohrungen ausgeric</w:t>
      </w:r>
      <w:r w:rsidRPr="00E56594">
        <w:rPr>
          <w:lang w:val="de-DE"/>
        </w:rPr>
        <w:t>h</w:t>
      </w:r>
      <w:r w:rsidRPr="00E56594">
        <w:rPr>
          <w:lang w:val="de-DE"/>
        </w:rPr>
        <w:t>tet.</w:t>
      </w:r>
    </w:p>
    <w:p w:rsidR="003A70ED" w:rsidRDefault="003A70ED" w:rsidP="003A70ED">
      <w:pPr>
        <w:rPr>
          <w:lang w:val="de-DE"/>
        </w:rPr>
      </w:pPr>
    </w:p>
    <w:p w:rsidR="003A70ED" w:rsidRDefault="003A70ED" w:rsidP="003A70ED">
      <w:pPr>
        <w:rPr>
          <w:lang w:val="de-DE"/>
        </w:rPr>
      </w:pPr>
      <w:r w:rsidRPr="00FF68B2">
        <w:rPr>
          <w:lang w:val="de-DE"/>
        </w:rPr>
        <w:t xml:space="preserve">In Hamburg wird der Wasserstand der Elbe vor allem durch Ebbe und Flut beeinflusst. Diese Tideeinflüsse wirken sich auch auf die Grundwasserstände in den </w:t>
      </w:r>
      <w:proofErr w:type="spellStart"/>
      <w:r w:rsidRPr="00FF68B2">
        <w:rPr>
          <w:lang w:val="de-DE"/>
        </w:rPr>
        <w:t>elbnahen</w:t>
      </w:r>
      <w:proofErr w:type="spellEnd"/>
      <w:r w:rsidRPr="00FF68B2">
        <w:rPr>
          <w:lang w:val="de-DE"/>
        </w:rPr>
        <w:t xml:space="preserve"> Grundwasse</w:t>
      </w:r>
      <w:r w:rsidRPr="00FF68B2">
        <w:rPr>
          <w:lang w:val="de-DE"/>
        </w:rPr>
        <w:t>r</w:t>
      </w:r>
      <w:r w:rsidRPr="00FF68B2">
        <w:rPr>
          <w:lang w:val="de-DE"/>
        </w:rPr>
        <w:t>messstellen aus.</w:t>
      </w:r>
      <w:r>
        <w:rPr>
          <w:lang w:val="de-DE"/>
        </w:rPr>
        <w:t xml:space="preserve"> Auswirkungen der Trockenperiode konnten im Grundwasser nicht festgestellt werden.</w:t>
      </w:r>
    </w:p>
    <w:p w:rsidR="003010B1" w:rsidRPr="007916D6" w:rsidRDefault="003010B1" w:rsidP="008010F8">
      <w:pPr>
        <w:rPr>
          <w:lang w:val="de-DE"/>
        </w:rPr>
      </w:pPr>
    </w:p>
    <w:p w:rsidR="008010F8" w:rsidRPr="007916D6" w:rsidRDefault="008010F8" w:rsidP="00370625">
      <w:pPr>
        <w:pStyle w:val="berschrift2"/>
      </w:pPr>
      <w:r w:rsidRPr="007916D6">
        <w:t>Auswertung der Quellschüttungen</w:t>
      </w:r>
    </w:p>
    <w:p w:rsidR="003010B1" w:rsidRPr="007916D6" w:rsidRDefault="003010B1" w:rsidP="003010B1">
      <w:pPr>
        <w:rPr>
          <w:noProof/>
          <w:lang w:val="de-DE"/>
        </w:rPr>
      </w:pPr>
      <w:r w:rsidRPr="007916D6">
        <w:rPr>
          <w:noProof/>
          <w:lang w:val="de-DE"/>
        </w:rPr>
        <w:t xml:space="preserve">Auch wenn die Quellschüttungen in der </w:t>
      </w:r>
      <w:r w:rsidRPr="007916D6">
        <w:rPr>
          <w:b/>
          <w:noProof/>
          <w:lang w:val="de-DE"/>
        </w:rPr>
        <w:t>Tschechischen Republik</w:t>
      </w:r>
      <w:r w:rsidRPr="007916D6">
        <w:rPr>
          <w:noProof/>
          <w:lang w:val="de-DE"/>
        </w:rPr>
        <w:t xml:space="preserve"> bis in den April 2015 (den Monat mit den üblichen Frühjahrsmaxima) zunahmen, wurde auf der </w:t>
      </w:r>
      <w:r w:rsidR="004E25EA" w:rsidRPr="007916D6">
        <w:rPr>
          <w:noProof/>
          <w:lang w:val="de-DE"/>
        </w:rPr>
        <w:t xml:space="preserve">monatlichen </w:t>
      </w:r>
      <w:r w:rsidRPr="007916D6">
        <w:rPr>
          <w:noProof/>
          <w:lang w:val="de-DE"/>
        </w:rPr>
        <w:t>Überschreitungskurve nicht einmal d</w:t>
      </w:r>
      <w:r w:rsidR="00EB1F6D" w:rsidRPr="007916D6">
        <w:rPr>
          <w:noProof/>
          <w:lang w:val="de-DE"/>
        </w:rPr>
        <w:t>as</w:t>
      </w:r>
      <w:r w:rsidRPr="007916D6">
        <w:rPr>
          <w:noProof/>
          <w:lang w:val="de-DE"/>
        </w:rPr>
        <w:t xml:space="preserve"> normale </w:t>
      </w:r>
      <w:r w:rsidR="00EB1F6D" w:rsidRPr="007916D6">
        <w:rPr>
          <w:noProof/>
          <w:lang w:val="de-DE"/>
        </w:rPr>
        <w:t>Niveau</w:t>
      </w:r>
      <w:r w:rsidRPr="007916D6">
        <w:rPr>
          <w:noProof/>
          <w:lang w:val="de-DE"/>
        </w:rPr>
        <w:t xml:space="preserve"> erreicht. Danach verringerte</w:t>
      </w:r>
      <w:r w:rsidR="00EB1F6D" w:rsidRPr="007916D6">
        <w:rPr>
          <w:noProof/>
          <w:lang w:val="de-DE"/>
        </w:rPr>
        <w:t>n</w:t>
      </w:r>
      <w:r w:rsidRPr="007916D6">
        <w:rPr>
          <w:noProof/>
          <w:lang w:val="de-DE"/>
        </w:rPr>
        <w:t xml:space="preserve"> sich die Quellschüttung</w:t>
      </w:r>
      <w:r w:rsidR="00EB1F6D" w:rsidRPr="007916D6">
        <w:rPr>
          <w:noProof/>
          <w:lang w:val="de-DE"/>
        </w:rPr>
        <w:t>en</w:t>
      </w:r>
      <w:r w:rsidRPr="007916D6">
        <w:rPr>
          <w:noProof/>
          <w:lang w:val="de-DE"/>
        </w:rPr>
        <w:t xml:space="preserve"> bereits, und zwar mit größerer Intensität, als es für die jeweiligen Monate </w:t>
      </w:r>
      <w:r w:rsidR="004E25EA" w:rsidRPr="007916D6">
        <w:rPr>
          <w:noProof/>
          <w:lang w:val="de-DE"/>
        </w:rPr>
        <w:t>normal</w:t>
      </w:r>
      <w:r w:rsidRPr="007916D6">
        <w:rPr>
          <w:noProof/>
          <w:lang w:val="de-DE"/>
        </w:rPr>
        <w:t xml:space="preserve"> ist. Am stärksten von der Niedrigwassersituation betroffen war bereits ab Juli das Teileinzugsgebiet der tschechischen </w:t>
      </w:r>
      <w:r w:rsidR="00B51804" w:rsidRPr="007916D6">
        <w:rPr>
          <w:noProof/>
          <w:lang w:val="de-DE"/>
        </w:rPr>
        <w:t>O</w:t>
      </w:r>
      <w:r w:rsidRPr="007916D6">
        <w:rPr>
          <w:noProof/>
          <w:lang w:val="de-DE"/>
        </w:rPr>
        <w:t>beren und mittleren Elbe (nordöstliches Böhmen).</w:t>
      </w:r>
    </w:p>
    <w:p w:rsidR="003010B1" w:rsidRPr="007916D6" w:rsidRDefault="003010B1" w:rsidP="003010B1">
      <w:pPr>
        <w:rPr>
          <w:noProof/>
          <w:lang w:val="de-DE"/>
        </w:rPr>
      </w:pPr>
    </w:p>
    <w:p w:rsidR="00D828BF" w:rsidRPr="007916D6" w:rsidRDefault="00EB1F6D" w:rsidP="008010F8">
      <w:pPr>
        <w:rPr>
          <w:lang w:val="de-DE"/>
        </w:rPr>
      </w:pPr>
      <w:r w:rsidRPr="007916D6">
        <w:rPr>
          <w:lang w:val="de-DE"/>
        </w:rPr>
        <w:t>Im Hinblick auf die</w:t>
      </w:r>
      <w:r w:rsidR="00052209" w:rsidRPr="007916D6">
        <w:rPr>
          <w:lang w:val="de-DE"/>
        </w:rPr>
        <w:t xml:space="preserve"> </w:t>
      </w:r>
      <w:r w:rsidR="00B51804" w:rsidRPr="007916D6">
        <w:rPr>
          <w:lang w:val="de-DE"/>
        </w:rPr>
        <w:t xml:space="preserve">Einordnung der </w:t>
      </w:r>
      <w:r w:rsidR="00052209" w:rsidRPr="007916D6">
        <w:rPr>
          <w:lang w:val="de-DE"/>
        </w:rPr>
        <w:t xml:space="preserve">Schüttung auf den </w:t>
      </w:r>
      <w:r w:rsidR="00B51804" w:rsidRPr="007916D6">
        <w:rPr>
          <w:lang w:val="de-DE"/>
        </w:rPr>
        <w:t xml:space="preserve">monatlichen </w:t>
      </w:r>
      <w:r w:rsidR="00052209" w:rsidRPr="007916D6">
        <w:rPr>
          <w:lang w:val="de-DE"/>
        </w:rPr>
        <w:t xml:space="preserve">Überschreitungskurven war die Schüttung im September am geringsten. </w:t>
      </w:r>
      <w:r w:rsidR="00B51804" w:rsidRPr="007916D6">
        <w:rPr>
          <w:lang w:val="de-DE"/>
        </w:rPr>
        <w:t>Niedrig</w:t>
      </w:r>
      <w:r w:rsidR="00052209" w:rsidRPr="007916D6">
        <w:rPr>
          <w:lang w:val="de-DE"/>
        </w:rPr>
        <w:t>e Werte erreichten die überwachten Mes</w:t>
      </w:r>
      <w:r w:rsidR="00052209" w:rsidRPr="007916D6">
        <w:rPr>
          <w:lang w:val="de-DE"/>
        </w:rPr>
        <w:t>s</w:t>
      </w:r>
      <w:r w:rsidR="00052209" w:rsidRPr="007916D6">
        <w:rPr>
          <w:lang w:val="de-DE"/>
        </w:rPr>
        <w:t>stellen jedoch bereits im Juli und August. Vereinzelte Zunahmen der Schüttung im August w</w:t>
      </w:r>
      <w:r w:rsidR="00052209" w:rsidRPr="007916D6">
        <w:rPr>
          <w:lang w:val="de-DE"/>
        </w:rPr>
        <w:t>a</w:t>
      </w:r>
      <w:r w:rsidR="00052209" w:rsidRPr="007916D6">
        <w:rPr>
          <w:lang w:val="de-DE"/>
        </w:rPr>
        <w:t>ren nur kurzzei</w:t>
      </w:r>
      <w:r w:rsidR="00B51804" w:rsidRPr="007916D6">
        <w:rPr>
          <w:lang w:val="de-DE"/>
        </w:rPr>
        <w:t>tig</w:t>
      </w:r>
      <w:r w:rsidR="00052209" w:rsidRPr="007916D6">
        <w:rPr>
          <w:lang w:val="de-DE"/>
        </w:rPr>
        <w:t xml:space="preserve">. Ende August </w:t>
      </w:r>
      <w:r w:rsidR="00B51804" w:rsidRPr="007916D6">
        <w:rPr>
          <w:lang w:val="de-DE"/>
        </w:rPr>
        <w:t>befand</w:t>
      </w:r>
      <w:r w:rsidR="00052209" w:rsidRPr="007916D6">
        <w:rPr>
          <w:lang w:val="de-DE"/>
        </w:rPr>
        <w:t xml:space="preserve">en </w:t>
      </w:r>
      <w:r w:rsidR="00B51804" w:rsidRPr="007916D6">
        <w:rPr>
          <w:lang w:val="de-DE"/>
        </w:rPr>
        <w:t xml:space="preserve">sich </w:t>
      </w:r>
      <w:r w:rsidR="00052209" w:rsidRPr="007916D6">
        <w:rPr>
          <w:lang w:val="de-DE"/>
        </w:rPr>
        <w:t>in den Teileinzugsgebieten der Unteren Moldau sowie der Eger, der tschechischen unteren Elbe und anderer Elbenebenflüsse 70 % der Mes</w:t>
      </w:r>
      <w:r w:rsidR="00052209" w:rsidRPr="007916D6">
        <w:rPr>
          <w:lang w:val="de-DE"/>
        </w:rPr>
        <w:t>s</w:t>
      </w:r>
      <w:r w:rsidR="00052209" w:rsidRPr="007916D6">
        <w:rPr>
          <w:lang w:val="de-DE"/>
        </w:rPr>
        <w:t>stellen un</w:t>
      </w:r>
      <w:r w:rsidR="00D828BF" w:rsidRPr="007916D6">
        <w:rPr>
          <w:lang w:val="de-DE"/>
        </w:rPr>
        <w:t>ter de</w:t>
      </w:r>
      <w:r w:rsidRPr="007916D6">
        <w:rPr>
          <w:lang w:val="de-DE"/>
        </w:rPr>
        <w:t>r</w:t>
      </w:r>
      <w:r w:rsidR="00D828BF" w:rsidRPr="007916D6">
        <w:rPr>
          <w:lang w:val="de-DE"/>
        </w:rPr>
        <w:t xml:space="preserve"> Niedrigwasser</w:t>
      </w:r>
      <w:r w:rsidRPr="007916D6">
        <w:rPr>
          <w:lang w:val="de-DE"/>
        </w:rPr>
        <w:t>grenze</w:t>
      </w:r>
      <w:r w:rsidR="00D828BF" w:rsidRPr="007916D6">
        <w:rPr>
          <w:lang w:val="de-DE"/>
        </w:rPr>
        <w:t xml:space="preserve"> (85 % der </w:t>
      </w:r>
      <w:r w:rsidR="00B51804" w:rsidRPr="007916D6">
        <w:rPr>
          <w:lang w:val="de-DE"/>
        </w:rPr>
        <w:t xml:space="preserve">monatlichen </w:t>
      </w:r>
      <w:r w:rsidR="00D828BF" w:rsidRPr="007916D6">
        <w:rPr>
          <w:lang w:val="de-DE"/>
        </w:rPr>
        <w:t>Überschreitungskurve), günstiger war die Situation im Teileinzugsgebiet der Oberen Moldau, w</w:t>
      </w:r>
      <w:r w:rsidR="00B51804" w:rsidRPr="007916D6">
        <w:rPr>
          <w:lang w:val="de-DE"/>
        </w:rPr>
        <w:t>o</w:t>
      </w:r>
      <w:r w:rsidR="00D828BF" w:rsidRPr="007916D6">
        <w:rPr>
          <w:lang w:val="de-DE"/>
        </w:rPr>
        <w:t xml:space="preserve"> nur ein Drittel der Quellen bis zur Niedrigwasser</w:t>
      </w:r>
      <w:r w:rsidR="00B51804" w:rsidRPr="007916D6">
        <w:rPr>
          <w:lang w:val="de-DE"/>
        </w:rPr>
        <w:t>grenze</w:t>
      </w:r>
      <w:r w:rsidR="00D828BF" w:rsidRPr="007916D6">
        <w:rPr>
          <w:lang w:val="de-DE"/>
        </w:rPr>
        <w:t xml:space="preserve"> zurückging. </w:t>
      </w:r>
      <w:r w:rsidR="00B51804" w:rsidRPr="007916D6">
        <w:rPr>
          <w:lang w:val="de-DE"/>
        </w:rPr>
        <w:t>Im ganzen Gebiet verschlechterte sich d</w:t>
      </w:r>
      <w:r w:rsidR="00D828BF" w:rsidRPr="007916D6">
        <w:rPr>
          <w:lang w:val="de-DE"/>
        </w:rPr>
        <w:t>ie Gesamteinordnung der beobachteten Quellschüttung</w:t>
      </w:r>
      <w:r w:rsidR="00B51804" w:rsidRPr="007916D6">
        <w:rPr>
          <w:lang w:val="de-DE"/>
        </w:rPr>
        <w:t>en</w:t>
      </w:r>
      <w:r w:rsidR="00D828BF" w:rsidRPr="007916D6">
        <w:rPr>
          <w:lang w:val="de-DE"/>
        </w:rPr>
        <w:t xml:space="preserve"> auf den </w:t>
      </w:r>
      <w:r w:rsidR="00B51804" w:rsidRPr="007916D6">
        <w:rPr>
          <w:lang w:val="de-DE"/>
        </w:rPr>
        <w:t xml:space="preserve">monatlichen </w:t>
      </w:r>
      <w:r w:rsidR="00D828BF" w:rsidRPr="007916D6">
        <w:rPr>
          <w:lang w:val="de-DE"/>
        </w:rPr>
        <w:t xml:space="preserve">Überschreitungskurven und bis auf das Teileinzugsgebiet der </w:t>
      </w:r>
      <w:proofErr w:type="spellStart"/>
      <w:r w:rsidR="00D828BF" w:rsidRPr="007916D6">
        <w:rPr>
          <w:lang w:val="de-DE"/>
        </w:rPr>
        <w:t>Berounka</w:t>
      </w:r>
      <w:proofErr w:type="spellEnd"/>
      <w:r w:rsidR="00D828BF" w:rsidRPr="007916D6">
        <w:rPr>
          <w:lang w:val="de-DE"/>
        </w:rPr>
        <w:t xml:space="preserve"> lag</w:t>
      </w:r>
      <w:r w:rsidR="00E51AAB" w:rsidRPr="007916D6">
        <w:rPr>
          <w:lang w:val="de-DE"/>
        </w:rPr>
        <w:t>en</w:t>
      </w:r>
      <w:r w:rsidR="00D828BF" w:rsidRPr="007916D6">
        <w:rPr>
          <w:lang w:val="de-DE"/>
        </w:rPr>
        <w:t xml:space="preserve"> die Quellschüttung</w:t>
      </w:r>
      <w:r w:rsidR="00E51AAB" w:rsidRPr="007916D6">
        <w:rPr>
          <w:lang w:val="de-DE"/>
        </w:rPr>
        <w:t>en</w:t>
      </w:r>
      <w:r w:rsidR="00D828BF" w:rsidRPr="007916D6">
        <w:rPr>
          <w:lang w:val="de-DE"/>
        </w:rPr>
        <w:t xml:space="preserve"> unter dem Normalwert. D</w:t>
      </w:r>
      <w:r w:rsidR="00E51AAB" w:rsidRPr="007916D6">
        <w:rPr>
          <w:lang w:val="de-DE"/>
        </w:rPr>
        <w:t>i</w:t>
      </w:r>
      <w:r w:rsidR="00D828BF" w:rsidRPr="007916D6">
        <w:rPr>
          <w:lang w:val="de-DE"/>
        </w:rPr>
        <w:t>e niedrigste</w:t>
      </w:r>
      <w:r w:rsidR="00E51AAB" w:rsidRPr="007916D6">
        <w:rPr>
          <w:lang w:val="de-DE"/>
        </w:rPr>
        <w:t>n</w:t>
      </w:r>
      <w:r w:rsidR="00D828BF" w:rsidRPr="007916D6">
        <w:rPr>
          <w:lang w:val="de-DE"/>
        </w:rPr>
        <w:t xml:space="preserve"> Wert</w:t>
      </w:r>
      <w:r w:rsidR="00E51AAB" w:rsidRPr="007916D6">
        <w:rPr>
          <w:lang w:val="de-DE"/>
        </w:rPr>
        <w:t>e</w:t>
      </w:r>
      <w:r w:rsidR="00D828BF" w:rsidRPr="007916D6">
        <w:rPr>
          <w:lang w:val="de-DE"/>
        </w:rPr>
        <w:t xml:space="preserve"> für die Schüttung wurde</w:t>
      </w:r>
      <w:r w:rsidR="009F7302" w:rsidRPr="007916D6">
        <w:rPr>
          <w:lang w:val="de-DE"/>
        </w:rPr>
        <w:t>n</w:t>
      </w:r>
      <w:r w:rsidR="00D828BF" w:rsidRPr="007916D6">
        <w:rPr>
          <w:lang w:val="de-DE"/>
        </w:rPr>
        <w:t xml:space="preserve"> </w:t>
      </w:r>
      <w:r w:rsidR="0088574D" w:rsidRPr="007916D6">
        <w:rPr>
          <w:lang w:val="de-DE"/>
        </w:rPr>
        <w:t>im Teileinzugsgebiet der tschechischen Oberen und mittleren Elbe erreicht.</w:t>
      </w:r>
    </w:p>
    <w:p w:rsidR="0088574D" w:rsidRPr="007916D6" w:rsidRDefault="0088574D" w:rsidP="008010F8">
      <w:pPr>
        <w:rPr>
          <w:lang w:val="de-DE"/>
        </w:rPr>
      </w:pPr>
    </w:p>
    <w:p w:rsidR="0088574D" w:rsidRPr="007916D6" w:rsidRDefault="0088574D" w:rsidP="008010F8">
      <w:pPr>
        <w:rPr>
          <w:lang w:val="de-DE"/>
        </w:rPr>
      </w:pPr>
      <w:r w:rsidRPr="007916D6">
        <w:rPr>
          <w:lang w:val="de-DE"/>
        </w:rPr>
        <w:t>Im September setzte sich der Rückgang der Quellschüttung</w:t>
      </w:r>
      <w:r w:rsidR="00E51AAB" w:rsidRPr="007916D6">
        <w:rPr>
          <w:lang w:val="de-DE"/>
        </w:rPr>
        <w:t>en</w:t>
      </w:r>
      <w:r w:rsidRPr="007916D6">
        <w:rPr>
          <w:lang w:val="de-DE"/>
        </w:rPr>
        <w:t xml:space="preserve"> vom Sommer fort, und zwar überwiegend im Teileinzugsgebiet der Unteren Moldau. Im Teileinzugsgebiet der Eger, der tschechischen unteren Elbe und andere</w:t>
      </w:r>
      <w:r w:rsidR="00B51804" w:rsidRPr="007916D6">
        <w:rPr>
          <w:lang w:val="de-DE"/>
        </w:rPr>
        <w:t>r</w:t>
      </w:r>
      <w:r w:rsidRPr="007916D6">
        <w:rPr>
          <w:lang w:val="de-DE"/>
        </w:rPr>
        <w:t xml:space="preserve"> Elbenebenflüsse (Nord</w:t>
      </w:r>
      <w:r w:rsidR="00E51AAB" w:rsidRPr="007916D6">
        <w:rPr>
          <w:lang w:val="de-DE"/>
        </w:rPr>
        <w:t>we</w:t>
      </w:r>
      <w:r w:rsidRPr="007916D6">
        <w:rPr>
          <w:lang w:val="de-DE"/>
        </w:rPr>
        <w:t xml:space="preserve">sten Böhmens) </w:t>
      </w:r>
      <w:r w:rsidR="00B51804" w:rsidRPr="007916D6">
        <w:rPr>
          <w:lang w:val="de-DE"/>
        </w:rPr>
        <w:t>bli</w:t>
      </w:r>
      <w:r w:rsidR="00E51AAB" w:rsidRPr="007916D6">
        <w:rPr>
          <w:lang w:val="de-DE"/>
        </w:rPr>
        <w:t>e</w:t>
      </w:r>
      <w:r w:rsidR="00B51804" w:rsidRPr="007916D6">
        <w:rPr>
          <w:lang w:val="de-DE"/>
        </w:rPr>
        <w:t>ben</w:t>
      </w:r>
      <w:r w:rsidRPr="007916D6">
        <w:rPr>
          <w:lang w:val="de-DE"/>
        </w:rPr>
        <w:t xml:space="preserve"> die Werte der Schüttung </w:t>
      </w:r>
      <w:r w:rsidR="00AF160C" w:rsidRPr="007916D6">
        <w:rPr>
          <w:lang w:val="de-DE"/>
        </w:rPr>
        <w:t>gleich</w:t>
      </w:r>
      <w:r w:rsidRPr="007916D6">
        <w:rPr>
          <w:lang w:val="de-DE"/>
        </w:rPr>
        <w:t>. Die Anzahl der Messstellen mit einer Schüttung unter der Niedri</w:t>
      </w:r>
      <w:r w:rsidRPr="007916D6">
        <w:rPr>
          <w:lang w:val="de-DE"/>
        </w:rPr>
        <w:t>g</w:t>
      </w:r>
      <w:r w:rsidRPr="007916D6">
        <w:rPr>
          <w:lang w:val="de-DE"/>
        </w:rPr>
        <w:t>wassergrenze blieb hoch und betrug 60 %, i</w:t>
      </w:r>
      <w:r w:rsidR="00E51AAB" w:rsidRPr="007916D6">
        <w:rPr>
          <w:lang w:val="de-DE"/>
        </w:rPr>
        <w:t xml:space="preserve">n den </w:t>
      </w:r>
      <w:r w:rsidRPr="007916D6">
        <w:rPr>
          <w:lang w:val="de-DE"/>
        </w:rPr>
        <w:t>Teileinzugsgebiet</w:t>
      </w:r>
      <w:r w:rsidR="00E51AAB" w:rsidRPr="007916D6">
        <w:rPr>
          <w:lang w:val="de-DE"/>
        </w:rPr>
        <w:t>en</w:t>
      </w:r>
      <w:r w:rsidRPr="007916D6">
        <w:rPr>
          <w:lang w:val="de-DE"/>
        </w:rPr>
        <w:t xml:space="preserve"> der Unteren Moldau s</w:t>
      </w:r>
      <w:r w:rsidRPr="007916D6">
        <w:rPr>
          <w:lang w:val="de-DE"/>
        </w:rPr>
        <w:t>o</w:t>
      </w:r>
      <w:r w:rsidRPr="007916D6">
        <w:rPr>
          <w:lang w:val="de-DE"/>
        </w:rPr>
        <w:t xml:space="preserve">wie der Eger, der tschechischen unteren Elbe und anderer Elbenebenflüsse waren es 70 %. Die Gesamteinordnung der Quellen auf den </w:t>
      </w:r>
      <w:r w:rsidR="00B51804" w:rsidRPr="007916D6">
        <w:rPr>
          <w:lang w:val="de-DE"/>
        </w:rPr>
        <w:t xml:space="preserve">monatlichen </w:t>
      </w:r>
      <w:r w:rsidRPr="007916D6">
        <w:rPr>
          <w:lang w:val="de-DE"/>
        </w:rPr>
        <w:t xml:space="preserve">Überschreitungskurven veränderte sich im September nicht </w:t>
      </w:r>
      <w:r w:rsidR="00E51AAB" w:rsidRPr="007916D6">
        <w:rPr>
          <w:lang w:val="de-DE"/>
        </w:rPr>
        <w:t>stärk</w:t>
      </w:r>
      <w:r w:rsidRPr="007916D6">
        <w:rPr>
          <w:lang w:val="de-DE"/>
        </w:rPr>
        <w:t xml:space="preserve">er. Die niedrigsten Werte für die Schüttung </w:t>
      </w:r>
      <w:r w:rsidR="00B51804" w:rsidRPr="007916D6">
        <w:rPr>
          <w:lang w:val="de-DE"/>
        </w:rPr>
        <w:t>gab es</w:t>
      </w:r>
      <w:r w:rsidRPr="007916D6">
        <w:rPr>
          <w:lang w:val="de-DE"/>
        </w:rPr>
        <w:t xml:space="preserve"> im Teileinzugsgebiet der tschechischen Oberen und mittleren Elbe.</w:t>
      </w:r>
    </w:p>
    <w:p w:rsidR="0088574D" w:rsidRPr="007916D6" w:rsidRDefault="0088574D" w:rsidP="008010F8">
      <w:pPr>
        <w:rPr>
          <w:lang w:val="de-DE"/>
        </w:rPr>
      </w:pPr>
    </w:p>
    <w:p w:rsidR="0088574D" w:rsidRPr="007916D6" w:rsidRDefault="0088574D" w:rsidP="008010F8">
      <w:pPr>
        <w:rPr>
          <w:lang w:val="de-DE"/>
        </w:rPr>
      </w:pPr>
      <w:r w:rsidRPr="007916D6">
        <w:rPr>
          <w:lang w:val="de-DE"/>
        </w:rPr>
        <w:t xml:space="preserve">Im Oktober </w:t>
      </w:r>
      <w:r w:rsidR="00B51804" w:rsidRPr="007916D6">
        <w:rPr>
          <w:lang w:val="de-DE"/>
        </w:rPr>
        <w:t xml:space="preserve">blieben die Werte für die Schüttung </w:t>
      </w:r>
      <w:r w:rsidRPr="007916D6">
        <w:rPr>
          <w:lang w:val="de-DE"/>
        </w:rPr>
        <w:t xml:space="preserve">in den Teileinzugsgebieten der Oberen Moldau, der </w:t>
      </w:r>
      <w:proofErr w:type="spellStart"/>
      <w:r w:rsidRPr="007916D6">
        <w:rPr>
          <w:lang w:val="de-DE"/>
        </w:rPr>
        <w:t>Berounka</w:t>
      </w:r>
      <w:proofErr w:type="spellEnd"/>
      <w:r w:rsidRPr="007916D6">
        <w:rPr>
          <w:lang w:val="de-DE"/>
        </w:rPr>
        <w:t xml:space="preserve"> sowie der Eger, der tschechischen unteren Elbe und anderer Elbenebenflüsse </w:t>
      </w:r>
      <w:r w:rsidR="00B51804" w:rsidRPr="007916D6">
        <w:rPr>
          <w:lang w:val="de-DE"/>
        </w:rPr>
        <w:t>konstant</w:t>
      </w:r>
      <w:r w:rsidRPr="007916D6">
        <w:rPr>
          <w:lang w:val="de-DE"/>
        </w:rPr>
        <w:t>.</w:t>
      </w:r>
      <w:r w:rsidR="00007BFB" w:rsidRPr="007916D6">
        <w:rPr>
          <w:lang w:val="de-DE"/>
        </w:rPr>
        <w:t xml:space="preserve"> I</w:t>
      </w:r>
      <w:r w:rsidR="002973BB" w:rsidRPr="007916D6">
        <w:rPr>
          <w:lang w:val="de-DE"/>
        </w:rPr>
        <w:t>n den</w:t>
      </w:r>
      <w:r w:rsidR="00007BFB" w:rsidRPr="007916D6">
        <w:rPr>
          <w:lang w:val="de-DE"/>
        </w:rPr>
        <w:t xml:space="preserve"> Teileinzugsgebiet</w:t>
      </w:r>
      <w:r w:rsidR="002973BB" w:rsidRPr="007916D6">
        <w:rPr>
          <w:lang w:val="de-DE"/>
        </w:rPr>
        <w:t>en</w:t>
      </w:r>
      <w:r w:rsidR="00007BFB" w:rsidRPr="007916D6">
        <w:rPr>
          <w:lang w:val="de-DE"/>
        </w:rPr>
        <w:t xml:space="preserve"> </w:t>
      </w:r>
      <w:r w:rsidR="00770E83" w:rsidRPr="007916D6">
        <w:rPr>
          <w:lang w:val="de-DE"/>
        </w:rPr>
        <w:t>der tschechischen Oberen und mittleren</w:t>
      </w:r>
      <w:r w:rsidR="004C3BA8" w:rsidRPr="007916D6">
        <w:rPr>
          <w:lang w:val="de-DE"/>
        </w:rPr>
        <w:t xml:space="preserve"> </w:t>
      </w:r>
      <w:r w:rsidR="002973BB" w:rsidRPr="007916D6">
        <w:rPr>
          <w:lang w:val="de-DE"/>
        </w:rPr>
        <w:t>Elbe sowie der Unteren Moldau setzten sich die leichten Rückgänge oder die Stagnation der Quellschüttungen fort. Der Gesamtanteil der Quellen mit einer unter dem Normalwert liegenden Schüttung blieb hoch, ebenso die Anzahl der Messstellen mit einer Schüttung unterhalb der Niedrigwassergre</w:t>
      </w:r>
      <w:r w:rsidR="002973BB" w:rsidRPr="007916D6">
        <w:rPr>
          <w:lang w:val="de-DE"/>
        </w:rPr>
        <w:t>n</w:t>
      </w:r>
      <w:r w:rsidR="002973BB" w:rsidRPr="007916D6">
        <w:rPr>
          <w:lang w:val="de-DE"/>
        </w:rPr>
        <w:t xml:space="preserve">ze (60 %). Am geringsten war der Anteil der Messstellen unterhalb der Niedrigwassergrenze im Teileinzugsgebiet der </w:t>
      </w:r>
      <w:proofErr w:type="spellStart"/>
      <w:r w:rsidR="002973BB" w:rsidRPr="007916D6">
        <w:rPr>
          <w:lang w:val="de-DE"/>
        </w:rPr>
        <w:t>Berounka</w:t>
      </w:r>
      <w:proofErr w:type="spellEnd"/>
      <w:r w:rsidR="002973BB" w:rsidRPr="007916D6">
        <w:rPr>
          <w:lang w:val="de-DE"/>
        </w:rPr>
        <w:t xml:space="preserve"> (40 %). </w:t>
      </w:r>
      <w:r w:rsidR="00B51804" w:rsidRPr="007916D6">
        <w:rPr>
          <w:lang w:val="de-DE"/>
        </w:rPr>
        <w:t>Im Vergleich zum September veränderte sich d</w:t>
      </w:r>
      <w:r w:rsidR="002973BB" w:rsidRPr="007916D6">
        <w:rPr>
          <w:lang w:val="de-DE"/>
        </w:rPr>
        <w:t>ie G</w:t>
      </w:r>
      <w:r w:rsidR="002973BB" w:rsidRPr="007916D6">
        <w:rPr>
          <w:lang w:val="de-DE"/>
        </w:rPr>
        <w:t>e</w:t>
      </w:r>
      <w:r w:rsidR="002973BB" w:rsidRPr="007916D6">
        <w:rPr>
          <w:lang w:val="de-DE"/>
        </w:rPr>
        <w:t xml:space="preserve">samteinordnung der Quellschüttungen in den einzelnen Einzugsgebieten </w:t>
      </w:r>
      <w:r w:rsidR="00B51804" w:rsidRPr="007916D6">
        <w:rPr>
          <w:lang w:val="de-DE"/>
        </w:rPr>
        <w:t>aus der Sicht der</w:t>
      </w:r>
      <w:r w:rsidR="002973BB" w:rsidRPr="007916D6">
        <w:rPr>
          <w:lang w:val="de-DE"/>
        </w:rPr>
        <w:t xml:space="preserve"> </w:t>
      </w:r>
      <w:r w:rsidR="00B51804" w:rsidRPr="007916D6">
        <w:rPr>
          <w:lang w:val="de-DE"/>
        </w:rPr>
        <w:t>m</w:t>
      </w:r>
      <w:r w:rsidR="00B51804" w:rsidRPr="007916D6">
        <w:rPr>
          <w:lang w:val="de-DE"/>
        </w:rPr>
        <w:t>o</w:t>
      </w:r>
      <w:r w:rsidR="00B51804" w:rsidRPr="007916D6">
        <w:rPr>
          <w:lang w:val="de-DE"/>
        </w:rPr>
        <w:t xml:space="preserve">natlichen </w:t>
      </w:r>
      <w:r w:rsidR="002973BB" w:rsidRPr="007916D6">
        <w:rPr>
          <w:lang w:val="de-DE"/>
        </w:rPr>
        <w:t xml:space="preserve">Überschreitungskurven </w:t>
      </w:r>
      <w:r w:rsidR="00B51804" w:rsidRPr="007916D6">
        <w:rPr>
          <w:lang w:val="de-DE"/>
        </w:rPr>
        <w:t xml:space="preserve">nicht </w:t>
      </w:r>
      <w:r w:rsidR="002973BB" w:rsidRPr="007916D6">
        <w:rPr>
          <w:lang w:val="de-DE"/>
        </w:rPr>
        <w:t>deutlicher.</w:t>
      </w:r>
    </w:p>
    <w:p w:rsidR="0088574D" w:rsidRPr="007916D6" w:rsidRDefault="0088574D" w:rsidP="008010F8">
      <w:pPr>
        <w:rPr>
          <w:lang w:val="de-DE"/>
        </w:rPr>
      </w:pPr>
    </w:p>
    <w:p w:rsidR="002973BB" w:rsidRPr="007916D6" w:rsidRDefault="002973BB" w:rsidP="008010F8">
      <w:pPr>
        <w:rPr>
          <w:lang w:val="de-DE"/>
        </w:rPr>
      </w:pPr>
      <w:r w:rsidRPr="007916D6">
        <w:rPr>
          <w:lang w:val="de-DE"/>
        </w:rPr>
        <w:lastRenderedPageBreak/>
        <w:t>Die letzten beiden Monate im Jahr 2015 brachten im größten Teil des Gebiets eine leichte Ve</w:t>
      </w:r>
      <w:r w:rsidRPr="007916D6">
        <w:rPr>
          <w:lang w:val="de-DE"/>
        </w:rPr>
        <w:t>r</w:t>
      </w:r>
      <w:r w:rsidRPr="007916D6">
        <w:rPr>
          <w:lang w:val="de-DE"/>
        </w:rPr>
        <w:t xml:space="preserve">besserung der Werte für die Schüttung. </w:t>
      </w:r>
      <w:r w:rsidR="00941292" w:rsidRPr="007916D6">
        <w:rPr>
          <w:lang w:val="de-DE"/>
        </w:rPr>
        <w:t>Zum Jahresende verbesserte sich die Grundwassers</w:t>
      </w:r>
      <w:r w:rsidR="00941292" w:rsidRPr="007916D6">
        <w:rPr>
          <w:lang w:val="de-DE"/>
        </w:rPr>
        <w:t>i</w:t>
      </w:r>
      <w:r w:rsidR="00941292" w:rsidRPr="007916D6">
        <w:rPr>
          <w:lang w:val="de-DE"/>
        </w:rPr>
        <w:t>tuation i</w:t>
      </w:r>
      <w:r w:rsidRPr="007916D6">
        <w:rPr>
          <w:lang w:val="de-DE"/>
        </w:rPr>
        <w:t xml:space="preserve">m Teileinzugsgebiet der tschechischen Oberen und mittleren Elbe </w:t>
      </w:r>
      <w:r w:rsidR="00941292" w:rsidRPr="007916D6">
        <w:rPr>
          <w:lang w:val="de-DE"/>
        </w:rPr>
        <w:t xml:space="preserve">bis </w:t>
      </w:r>
      <w:r w:rsidRPr="007916D6">
        <w:rPr>
          <w:lang w:val="de-DE"/>
        </w:rPr>
        <w:t>auf ein fast no</w:t>
      </w:r>
      <w:r w:rsidRPr="007916D6">
        <w:rPr>
          <w:lang w:val="de-DE"/>
        </w:rPr>
        <w:t>r</w:t>
      </w:r>
      <w:r w:rsidRPr="007916D6">
        <w:rPr>
          <w:lang w:val="de-DE"/>
        </w:rPr>
        <w:t>males Niveau.</w:t>
      </w:r>
    </w:p>
    <w:p w:rsidR="002973BB" w:rsidRPr="007916D6" w:rsidRDefault="002973BB" w:rsidP="008010F8">
      <w:pPr>
        <w:rPr>
          <w:lang w:val="de-DE"/>
        </w:rPr>
      </w:pPr>
    </w:p>
    <w:p w:rsidR="002973BB" w:rsidRPr="007916D6" w:rsidRDefault="002973BB" w:rsidP="008010F8">
      <w:pPr>
        <w:rPr>
          <w:lang w:val="de-DE"/>
        </w:rPr>
      </w:pPr>
      <w:r w:rsidRPr="007916D6">
        <w:rPr>
          <w:lang w:val="de-DE"/>
        </w:rPr>
        <w:t>Bei den absoluten Minima waren die Werte der Quellschüttungen 2015 im Herbst am niedrig</w:t>
      </w:r>
      <w:r w:rsidRPr="007916D6">
        <w:rPr>
          <w:lang w:val="de-DE"/>
        </w:rPr>
        <w:t>s</w:t>
      </w:r>
      <w:r w:rsidRPr="007916D6">
        <w:rPr>
          <w:lang w:val="de-DE"/>
        </w:rPr>
        <w:t>ten</w:t>
      </w:r>
      <w:r w:rsidR="00E51AAB" w:rsidRPr="007916D6">
        <w:rPr>
          <w:lang w:val="de-DE"/>
        </w:rPr>
        <w:t>,</w:t>
      </w:r>
      <w:r w:rsidRPr="007916D6">
        <w:rPr>
          <w:lang w:val="de-DE"/>
        </w:rPr>
        <w:t xml:space="preserve"> und das vergleichbar mit den Jahren 1990 bis 1993. In der </w:t>
      </w:r>
      <w:r w:rsidR="00941292" w:rsidRPr="007916D6">
        <w:rPr>
          <w:lang w:val="de-DE"/>
        </w:rPr>
        <w:t xml:space="preserve">jährlichen </w:t>
      </w:r>
      <w:r w:rsidRPr="007916D6">
        <w:rPr>
          <w:lang w:val="de-DE"/>
        </w:rPr>
        <w:t>Gesamtbilanz war</w:t>
      </w:r>
      <w:r w:rsidR="00E51AAB" w:rsidRPr="007916D6">
        <w:rPr>
          <w:lang w:val="de-DE"/>
        </w:rPr>
        <w:t>en</w:t>
      </w:r>
      <w:r w:rsidRPr="007916D6">
        <w:rPr>
          <w:lang w:val="de-DE"/>
        </w:rPr>
        <w:t xml:space="preserve"> jedoch die Quellschüttung</w:t>
      </w:r>
      <w:r w:rsidR="00E51AAB" w:rsidRPr="007916D6">
        <w:rPr>
          <w:lang w:val="de-DE"/>
        </w:rPr>
        <w:t>en</w:t>
      </w:r>
      <w:r w:rsidRPr="007916D6">
        <w:rPr>
          <w:lang w:val="de-DE"/>
        </w:rPr>
        <w:t xml:space="preserve"> 2015 besser, und zwar dank dem insgesamt normalen Verlauf der Werte für die Schüttung am Jahresanfang und der teilweise</w:t>
      </w:r>
      <w:r w:rsidR="009F7302" w:rsidRPr="007916D6">
        <w:rPr>
          <w:lang w:val="de-DE"/>
        </w:rPr>
        <w:t>n</w:t>
      </w:r>
      <w:r w:rsidRPr="007916D6">
        <w:rPr>
          <w:lang w:val="de-DE"/>
        </w:rPr>
        <w:t xml:space="preserve"> Auffüllung der tieferen Grundwa</w:t>
      </w:r>
      <w:r w:rsidRPr="007916D6">
        <w:rPr>
          <w:lang w:val="de-DE"/>
        </w:rPr>
        <w:t>s</w:t>
      </w:r>
      <w:r w:rsidRPr="007916D6">
        <w:rPr>
          <w:lang w:val="de-DE"/>
        </w:rPr>
        <w:t>serleiter am Jahresende.</w:t>
      </w:r>
    </w:p>
    <w:p w:rsidR="002973BB" w:rsidRPr="007916D6" w:rsidRDefault="002973BB" w:rsidP="008010F8">
      <w:pPr>
        <w:rPr>
          <w:lang w:val="de-DE"/>
        </w:rPr>
      </w:pPr>
    </w:p>
    <w:p w:rsidR="009C16C8" w:rsidRPr="00E56594" w:rsidRDefault="009C16C8" w:rsidP="009C16C8">
      <w:pPr>
        <w:rPr>
          <w:lang w:val="de-DE"/>
        </w:rPr>
      </w:pPr>
      <w:r w:rsidRPr="00E56594">
        <w:rPr>
          <w:lang w:val="de-DE"/>
        </w:rPr>
        <w:t>Im deutschen Elbeeinzugsgebiet wurden Quellmessstellen in den Vor- und Mittelgebirgsregi</w:t>
      </w:r>
      <w:r w:rsidRPr="00E56594">
        <w:rPr>
          <w:lang w:val="de-DE"/>
        </w:rPr>
        <w:t>o</w:t>
      </w:r>
      <w:r w:rsidRPr="00E56594">
        <w:rPr>
          <w:lang w:val="de-DE"/>
        </w:rPr>
        <w:t xml:space="preserve">nen eingerichtet, wobei nur wenige Quellen nach dem </w:t>
      </w:r>
      <w:r w:rsidR="006960D6" w:rsidRPr="00E56594">
        <w:rPr>
          <w:lang w:val="de-DE"/>
        </w:rPr>
        <w:t xml:space="preserve">wie in </w:t>
      </w:r>
      <w:r w:rsidR="003D04A0" w:rsidRPr="00E56594">
        <w:rPr>
          <w:lang w:val="de-DE"/>
        </w:rPr>
        <w:t xml:space="preserve">der </w:t>
      </w:r>
      <w:r w:rsidR="006960D6" w:rsidRPr="00E56594">
        <w:rPr>
          <w:lang w:val="de-DE"/>
        </w:rPr>
        <w:t>Tschechi</w:t>
      </w:r>
      <w:r w:rsidR="003D04A0" w:rsidRPr="00E56594">
        <w:rPr>
          <w:lang w:val="de-DE"/>
        </w:rPr>
        <w:t>sch</w:t>
      </w:r>
      <w:r w:rsidR="006960D6" w:rsidRPr="00E56594">
        <w:rPr>
          <w:lang w:val="de-DE"/>
        </w:rPr>
        <w:t xml:space="preserve">en </w:t>
      </w:r>
      <w:r w:rsidR="003D04A0" w:rsidRPr="00E56594">
        <w:rPr>
          <w:lang w:val="de-DE"/>
        </w:rPr>
        <w:t xml:space="preserve">Republik </w:t>
      </w:r>
      <w:r w:rsidR="006960D6" w:rsidRPr="00E56594">
        <w:rPr>
          <w:lang w:val="de-DE"/>
        </w:rPr>
        <w:t>ve</w:t>
      </w:r>
      <w:r w:rsidR="006960D6" w:rsidRPr="00E56594">
        <w:rPr>
          <w:lang w:val="de-DE"/>
        </w:rPr>
        <w:t>r</w:t>
      </w:r>
      <w:r w:rsidR="006960D6" w:rsidRPr="00E56594">
        <w:rPr>
          <w:lang w:val="de-DE"/>
        </w:rPr>
        <w:t xml:space="preserve">gleichbaren </w:t>
      </w:r>
      <w:r w:rsidRPr="00E56594">
        <w:rPr>
          <w:lang w:val="de-DE"/>
        </w:rPr>
        <w:t>Verfahren ausgewertet wurden. Die Grundwasserführung ist hier meist auf den Zwischenabfluss oder den Auslauf oder räumlich stärker begrenzter Grundwasserleiter limitiert. Somit machen sich kürzere Trockenperioden auch wesentlich schneller in einem Rückgang der Quellschüttung bemerkbar.</w:t>
      </w:r>
    </w:p>
    <w:p w:rsidR="00D76B59" w:rsidRPr="007916D6" w:rsidRDefault="00D76B59" w:rsidP="009C16C8">
      <w:pPr>
        <w:rPr>
          <w:highlight w:val="yellow"/>
          <w:lang w:val="de-DE"/>
        </w:rPr>
      </w:pPr>
    </w:p>
    <w:p w:rsidR="008010F8" w:rsidRPr="007916D6" w:rsidRDefault="008010F8" w:rsidP="00370625">
      <w:pPr>
        <w:pStyle w:val="berschrift2"/>
      </w:pPr>
      <w:r w:rsidRPr="007916D6">
        <w:t>Auswertung der Wasserstände in den Tiefenbohrungen</w:t>
      </w:r>
    </w:p>
    <w:p w:rsidR="003010B1" w:rsidRPr="007916D6" w:rsidRDefault="00245490" w:rsidP="008010F8">
      <w:pPr>
        <w:rPr>
          <w:noProof/>
          <w:lang w:val="de-DE"/>
        </w:rPr>
      </w:pPr>
      <w:r w:rsidRPr="007916D6">
        <w:rPr>
          <w:noProof/>
          <w:lang w:val="de-DE"/>
        </w:rPr>
        <w:t xml:space="preserve">Etwas anders war in der </w:t>
      </w:r>
      <w:r w:rsidRPr="007916D6">
        <w:rPr>
          <w:b/>
          <w:noProof/>
          <w:lang w:val="de-DE"/>
        </w:rPr>
        <w:t>Tschechischen Republik</w:t>
      </w:r>
      <w:r w:rsidRPr="007916D6">
        <w:rPr>
          <w:noProof/>
          <w:lang w:val="de-DE"/>
        </w:rPr>
        <w:t xml:space="preserve"> die Situation bei den tiefsten Grundwasserleitern, die mit Tiefenbohrungen </w:t>
      </w:r>
      <w:r w:rsidR="00E51AAB" w:rsidRPr="007916D6">
        <w:rPr>
          <w:noProof/>
          <w:lang w:val="de-DE"/>
        </w:rPr>
        <w:t>überwacht</w:t>
      </w:r>
      <w:r w:rsidRPr="007916D6">
        <w:rPr>
          <w:noProof/>
          <w:lang w:val="de-DE"/>
        </w:rPr>
        <w:t xml:space="preserve"> werden. Bis </w:t>
      </w:r>
      <w:r w:rsidR="00A04C9F" w:rsidRPr="007916D6">
        <w:rPr>
          <w:noProof/>
          <w:lang w:val="de-DE"/>
        </w:rPr>
        <w:t>in den</w:t>
      </w:r>
      <w:r w:rsidRPr="007916D6">
        <w:rPr>
          <w:noProof/>
          <w:lang w:val="de-DE"/>
        </w:rPr>
        <w:t xml:space="preserve"> Mai </w:t>
      </w:r>
      <w:r w:rsidR="00AF160C" w:rsidRPr="007916D6">
        <w:rPr>
          <w:noProof/>
          <w:lang w:val="de-DE"/>
        </w:rPr>
        <w:t>blieben</w:t>
      </w:r>
      <w:r w:rsidRPr="007916D6">
        <w:rPr>
          <w:noProof/>
          <w:lang w:val="de-DE"/>
        </w:rPr>
        <w:t xml:space="preserve"> die Wasserstände in den Tiefenbohrungen </w:t>
      </w:r>
      <w:r w:rsidR="00AF160C" w:rsidRPr="007916D6">
        <w:rPr>
          <w:noProof/>
          <w:lang w:val="de-DE"/>
        </w:rPr>
        <w:t>gleich</w:t>
      </w:r>
      <w:r w:rsidRPr="007916D6">
        <w:rPr>
          <w:noProof/>
          <w:lang w:val="de-DE"/>
        </w:rPr>
        <w:t xml:space="preserve">, mit zeitweiligen Rückgängen und Anstiegen </w:t>
      </w:r>
      <w:r w:rsidR="00E51AAB" w:rsidRPr="007916D6">
        <w:rPr>
          <w:noProof/>
          <w:lang w:val="de-DE"/>
        </w:rPr>
        <w:t>sowie</w:t>
      </w:r>
      <w:r w:rsidRPr="007916D6">
        <w:rPr>
          <w:noProof/>
          <w:lang w:val="de-DE"/>
        </w:rPr>
        <w:t xml:space="preserve"> </w:t>
      </w:r>
      <w:r w:rsidR="008314DA" w:rsidRPr="007916D6">
        <w:rPr>
          <w:noProof/>
          <w:lang w:val="de-DE"/>
        </w:rPr>
        <w:t>innerjährlich</w:t>
      </w:r>
      <w:r w:rsidRPr="007916D6">
        <w:rPr>
          <w:noProof/>
          <w:lang w:val="de-DE"/>
        </w:rPr>
        <w:t xml:space="preserve"> mit dem vorherigen Jahr 2014 vergleichbar. Ein leichtes Abfallen begann sich erst mit Beginn des Sommers zu zeigen, als die größten Rückgänge insbesondere in den Becken des Riesgengebirgsvorlandes und </w:t>
      </w:r>
      <w:r w:rsidR="008314DA" w:rsidRPr="007916D6">
        <w:rPr>
          <w:noProof/>
          <w:lang w:val="de-DE"/>
        </w:rPr>
        <w:t xml:space="preserve">im </w:t>
      </w:r>
      <w:r w:rsidRPr="007916D6">
        <w:rPr>
          <w:noProof/>
          <w:lang w:val="de-DE"/>
        </w:rPr>
        <w:t xml:space="preserve">Permokarbon </w:t>
      </w:r>
      <w:r w:rsidR="008314DA" w:rsidRPr="007916D6">
        <w:rPr>
          <w:noProof/>
          <w:lang w:val="de-DE"/>
        </w:rPr>
        <w:t>Ostb</w:t>
      </w:r>
      <w:r w:rsidRPr="007916D6">
        <w:rPr>
          <w:noProof/>
          <w:lang w:val="de-DE"/>
        </w:rPr>
        <w:t>öhmens verzeichnet wurden. Im August gab es zwar im Vergleich zum Jahr 2014 in den meisten der untersuchten Gebiete einen sichtbaren Rückgang verschiedener Intensität, es handelte sich jedoch nicht um extrem niedrige Werte wie in den flachen Grundwasserleitern. Nur im Bereich des Permokarbons Ostböhmens fielen die Wassers</w:t>
      </w:r>
      <w:r w:rsidR="008314DA" w:rsidRPr="007916D6">
        <w:rPr>
          <w:noProof/>
          <w:lang w:val="de-DE"/>
        </w:rPr>
        <w:t>piegel</w:t>
      </w:r>
      <w:r w:rsidRPr="007916D6">
        <w:rPr>
          <w:noProof/>
          <w:lang w:val="de-DE"/>
        </w:rPr>
        <w:t xml:space="preserve"> i</w:t>
      </w:r>
      <w:r w:rsidR="008314DA" w:rsidRPr="007916D6">
        <w:rPr>
          <w:noProof/>
          <w:lang w:val="de-DE"/>
        </w:rPr>
        <w:t>n</w:t>
      </w:r>
      <w:r w:rsidRPr="007916D6">
        <w:rPr>
          <w:noProof/>
          <w:lang w:val="de-DE"/>
        </w:rPr>
        <w:t xml:space="preserve"> 67 % der untersuchten Tiefenbohrungen deutlicher.</w:t>
      </w:r>
    </w:p>
    <w:p w:rsidR="0052451E" w:rsidRPr="007916D6" w:rsidRDefault="0052451E" w:rsidP="008010F8">
      <w:pPr>
        <w:rPr>
          <w:noProof/>
          <w:lang w:val="de-DE"/>
        </w:rPr>
      </w:pPr>
    </w:p>
    <w:p w:rsidR="0052451E" w:rsidRPr="007916D6" w:rsidRDefault="0052451E" w:rsidP="008010F8">
      <w:pPr>
        <w:rPr>
          <w:noProof/>
          <w:lang w:val="de-DE"/>
        </w:rPr>
      </w:pPr>
      <w:r w:rsidRPr="007916D6">
        <w:rPr>
          <w:noProof/>
          <w:lang w:val="de-DE"/>
        </w:rPr>
        <w:t>Im Oktober stagnierten die Grundwasserspiegel i</w:t>
      </w:r>
      <w:r w:rsidR="008314DA" w:rsidRPr="007916D6">
        <w:rPr>
          <w:noProof/>
          <w:lang w:val="de-DE"/>
        </w:rPr>
        <w:t>n</w:t>
      </w:r>
      <w:r w:rsidRPr="007916D6">
        <w:rPr>
          <w:noProof/>
          <w:lang w:val="de-DE"/>
        </w:rPr>
        <w:t xml:space="preserve"> den tiefen Grundwasserleitern in den meisten untersuchten Gebieten oder veränderten sich nur leicht. Ein Fallen des Wasserspiegel</w:t>
      </w:r>
      <w:r w:rsidR="008314DA" w:rsidRPr="007916D6">
        <w:rPr>
          <w:noProof/>
          <w:lang w:val="de-DE"/>
        </w:rPr>
        <w:t>s</w:t>
      </w:r>
      <w:r w:rsidRPr="007916D6">
        <w:rPr>
          <w:noProof/>
          <w:lang w:val="de-DE"/>
        </w:rPr>
        <w:t xml:space="preserve"> in den Bohrungen wurde nur im Gebiet des Permokarbons Ostböhmens (50 % der untersuchten Messstellen) und im Gebiet der Becken im Riesengebirgsvorland (33 % der untersuchten Messstellen) verzeichnet. An den anderen Standorten kam es bereits nicht mehr zu deutlicheren Rückgängen oder Anstiegen.</w:t>
      </w:r>
    </w:p>
    <w:p w:rsidR="0052451E" w:rsidRPr="007916D6" w:rsidRDefault="0052451E" w:rsidP="008010F8">
      <w:pPr>
        <w:rPr>
          <w:noProof/>
          <w:lang w:val="de-DE"/>
        </w:rPr>
      </w:pPr>
    </w:p>
    <w:p w:rsidR="0052451E" w:rsidRPr="007916D6" w:rsidRDefault="0052451E" w:rsidP="008010F8">
      <w:pPr>
        <w:rPr>
          <w:noProof/>
          <w:lang w:val="de-DE"/>
        </w:rPr>
      </w:pPr>
      <w:r w:rsidRPr="007916D6">
        <w:rPr>
          <w:noProof/>
          <w:lang w:val="de-DE"/>
        </w:rPr>
        <w:t xml:space="preserve">Im Laufe des Dezembers stieg der Grundwasserspiegel in vielen Gebieten der tiefen Grundwasserleiter nach längerer Zeit an. Am spürbarsten </w:t>
      </w:r>
      <w:r w:rsidR="008314DA" w:rsidRPr="007916D6">
        <w:rPr>
          <w:noProof/>
          <w:lang w:val="de-DE"/>
        </w:rPr>
        <w:t>erhöhte sich</w:t>
      </w:r>
      <w:r w:rsidRPr="007916D6">
        <w:rPr>
          <w:noProof/>
          <w:lang w:val="de-DE"/>
        </w:rPr>
        <w:t xml:space="preserve"> der Wasserspiegel in den Gebieten des Permokarbons Ostböhmens</w:t>
      </w:r>
      <w:r w:rsidR="008314DA" w:rsidRPr="007916D6">
        <w:rPr>
          <w:noProof/>
          <w:lang w:val="de-DE"/>
        </w:rPr>
        <w:t xml:space="preserve"> und</w:t>
      </w:r>
      <w:r w:rsidRPr="007916D6">
        <w:rPr>
          <w:noProof/>
          <w:lang w:val="de-DE"/>
        </w:rPr>
        <w:t xml:space="preserve"> der Becken im </w:t>
      </w:r>
      <w:r w:rsidR="006C5A4C">
        <w:rPr>
          <w:noProof/>
          <w:lang w:val="de-DE"/>
        </w:rPr>
        <w:t>Erz</w:t>
      </w:r>
      <w:r w:rsidRPr="007916D6">
        <w:rPr>
          <w:noProof/>
          <w:lang w:val="de-DE"/>
        </w:rPr>
        <w:t>gebirgsvorland. In den anderen Gebieten überwogen die Stagnation oder ein leichter Anstieg des Wasserspiegels. Das einzige Gebiet, in dem der Wasserspiegel fiel, ist das Gebiet des Permokarbons West- und Mittelböhmens. Auch trotz des leichten Anstiegs der Wasserspiegel im Bereich des Cenomans der ostböhmischen Kreide</w:t>
      </w:r>
      <w:r w:rsidR="00DB0214" w:rsidRPr="007916D6">
        <w:rPr>
          <w:noProof/>
          <w:lang w:val="de-DE"/>
        </w:rPr>
        <w:t xml:space="preserve"> war</w:t>
      </w:r>
      <w:r w:rsidRPr="007916D6">
        <w:rPr>
          <w:noProof/>
          <w:lang w:val="de-DE"/>
        </w:rPr>
        <w:t xml:space="preserve"> dort die Situation </w:t>
      </w:r>
      <w:r w:rsidR="008314DA" w:rsidRPr="007916D6">
        <w:rPr>
          <w:noProof/>
          <w:lang w:val="de-DE"/>
        </w:rPr>
        <w:t xml:space="preserve">auch weiterhin </w:t>
      </w:r>
      <w:r w:rsidRPr="007916D6">
        <w:rPr>
          <w:noProof/>
          <w:lang w:val="de-DE"/>
        </w:rPr>
        <w:t xml:space="preserve">im langfristigen Vergleich auf der </w:t>
      </w:r>
      <w:r w:rsidR="008314DA" w:rsidRPr="007916D6">
        <w:rPr>
          <w:noProof/>
          <w:lang w:val="de-DE"/>
        </w:rPr>
        <w:t xml:space="preserve">monatlichen </w:t>
      </w:r>
      <w:r w:rsidRPr="007916D6">
        <w:rPr>
          <w:noProof/>
          <w:lang w:val="de-DE"/>
        </w:rPr>
        <w:t xml:space="preserve">Überschreitungskurve </w:t>
      </w:r>
      <w:r w:rsidR="008314DA" w:rsidRPr="007916D6">
        <w:rPr>
          <w:noProof/>
          <w:lang w:val="de-DE"/>
        </w:rPr>
        <w:t>am schlechtesten</w:t>
      </w:r>
      <w:r w:rsidRPr="007916D6">
        <w:rPr>
          <w:noProof/>
          <w:lang w:val="de-DE"/>
        </w:rPr>
        <w:t xml:space="preserve">, die Niedrigwassergrenze </w:t>
      </w:r>
      <w:r w:rsidR="008314DA" w:rsidRPr="007916D6">
        <w:rPr>
          <w:noProof/>
          <w:lang w:val="de-DE"/>
        </w:rPr>
        <w:t>erreichten</w:t>
      </w:r>
      <w:r w:rsidRPr="007916D6">
        <w:rPr>
          <w:noProof/>
          <w:lang w:val="de-DE"/>
        </w:rPr>
        <w:t xml:space="preserve"> 67 % der untersuchten Messstellen.</w:t>
      </w:r>
    </w:p>
    <w:p w:rsidR="0052451E" w:rsidRPr="007916D6" w:rsidRDefault="0052451E" w:rsidP="008010F8">
      <w:pPr>
        <w:rPr>
          <w:noProof/>
          <w:lang w:val="de-DE"/>
        </w:rPr>
      </w:pPr>
    </w:p>
    <w:p w:rsidR="0052451E" w:rsidRPr="007916D6" w:rsidRDefault="0052451E" w:rsidP="008010F8">
      <w:pPr>
        <w:rPr>
          <w:noProof/>
          <w:lang w:val="de-DE"/>
        </w:rPr>
      </w:pPr>
      <w:r w:rsidRPr="007916D6">
        <w:rPr>
          <w:noProof/>
          <w:lang w:val="de-DE"/>
        </w:rPr>
        <w:t xml:space="preserve">Angesichts der </w:t>
      </w:r>
      <w:r w:rsidR="008314DA" w:rsidRPr="007916D6">
        <w:rPr>
          <w:noProof/>
          <w:lang w:val="de-DE"/>
        </w:rPr>
        <w:t>noch</w:t>
      </w:r>
      <w:r w:rsidRPr="007916D6">
        <w:rPr>
          <w:noProof/>
          <w:lang w:val="de-DE"/>
        </w:rPr>
        <w:t xml:space="preserve"> kurzen Wasser</w:t>
      </w:r>
      <w:r w:rsidR="00CD4C21" w:rsidRPr="007916D6">
        <w:rPr>
          <w:noProof/>
          <w:lang w:val="de-DE"/>
        </w:rPr>
        <w:t>s</w:t>
      </w:r>
      <w:r w:rsidR="00E51AAB" w:rsidRPr="007916D6">
        <w:rPr>
          <w:noProof/>
          <w:lang w:val="de-DE"/>
        </w:rPr>
        <w:t>piegelr</w:t>
      </w:r>
      <w:r w:rsidRPr="007916D6">
        <w:rPr>
          <w:noProof/>
          <w:lang w:val="de-DE"/>
        </w:rPr>
        <w:t xml:space="preserve">eihen bei den meisten Tiefenbohrungen </w:t>
      </w:r>
      <w:r w:rsidR="003B5AE2" w:rsidRPr="007916D6">
        <w:rPr>
          <w:noProof/>
          <w:lang w:val="de-DE"/>
        </w:rPr>
        <w:t>w</w:t>
      </w:r>
      <w:r w:rsidR="00CD4C21" w:rsidRPr="007916D6">
        <w:rPr>
          <w:noProof/>
          <w:lang w:val="de-DE"/>
        </w:rPr>
        <w:t>e</w:t>
      </w:r>
      <w:r w:rsidR="003B5AE2" w:rsidRPr="007916D6">
        <w:rPr>
          <w:noProof/>
          <w:lang w:val="de-DE"/>
        </w:rPr>
        <w:t>rd</w:t>
      </w:r>
      <w:r w:rsidR="00CD4C21" w:rsidRPr="007916D6">
        <w:rPr>
          <w:noProof/>
          <w:lang w:val="de-DE"/>
        </w:rPr>
        <w:t>en</w:t>
      </w:r>
      <w:r w:rsidR="003B5AE2" w:rsidRPr="007916D6">
        <w:rPr>
          <w:noProof/>
          <w:lang w:val="de-DE"/>
        </w:rPr>
        <w:t xml:space="preserve"> </w:t>
      </w:r>
      <w:r w:rsidR="009F7302" w:rsidRPr="007916D6">
        <w:rPr>
          <w:noProof/>
          <w:lang w:val="de-DE"/>
        </w:rPr>
        <w:t>d</w:t>
      </w:r>
      <w:r w:rsidR="003B5AE2" w:rsidRPr="007916D6">
        <w:rPr>
          <w:noProof/>
          <w:lang w:val="de-DE"/>
        </w:rPr>
        <w:t>i</w:t>
      </w:r>
      <w:r w:rsidR="00CD4C21" w:rsidRPr="007916D6">
        <w:rPr>
          <w:noProof/>
          <w:lang w:val="de-DE"/>
        </w:rPr>
        <w:t>e</w:t>
      </w:r>
      <w:r w:rsidR="003B5AE2" w:rsidRPr="007916D6">
        <w:rPr>
          <w:noProof/>
          <w:lang w:val="de-DE"/>
        </w:rPr>
        <w:t xml:space="preserve"> </w:t>
      </w:r>
      <w:r w:rsidR="00CD4C21" w:rsidRPr="007916D6">
        <w:rPr>
          <w:noProof/>
          <w:lang w:val="de-DE"/>
        </w:rPr>
        <w:t>Werte</w:t>
      </w:r>
      <w:r w:rsidR="003B5AE2" w:rsidRPr="007916D6">
        <w:rPr>
          <w:noProof/>
          <w:lang w:val="de-DE"/>
        </w:rPr>
        <w:t xml:space="preserve"> nur für einen kürzeren </w:t>
      </w:r>
      <w:r w:rsidR="00CD4C21" w:rsidRPr="007916D6">
        <w:rPr>
          <w:noProof/>
          <w:lang w:val="de-DE"/>
        </w:rPr>
        <w:t>Zeith</w:t>
      </w:r>
      <w:r w:rsidR="003B5AE2" w:rsidRPr="007916D6">
        <w:rPr>
          <w:noProof/>
          <w:lang w:val="de-DE"/>
        </w:rPr>
        <w:t>orizont von mehreren Jahren bewertet. Als trockensten Zeitraum in den tieferen Grundwasserleitern kann man vorerst die Jahre 2004, 2005 bzw. 2009 betrachten.</w:t>
      </w:r>
    </w:p>
    <w:p w:rsidR="00245490" w:rsidRPr="007916D6" w:rsidRDefault="00245490" w:rsidP="008010F8">
      <w:pPr>
        <w:rPr>
          <w:noProof/>
          <w:lang w:val="de-DE"/>
        </w:rPr>
      </w:pPr>
    </w:p>
    <w:p w:rsidR="009C16C8" w:rsidRDefault="009C16C8" w:rsidP="009C16C8">
      <w:pPr>
        <w:rPr>
          <w:lang w:val="de-DE"/>
        </w:rPr>
      </w:pPr>
      <w:r w:rsidRPr="00E56594">
        <w:rPr>
          <w:lang w:val="de-DE"/>
        </w:rPr>
        <w:t xml:space="preserve">Eine </w:t>
      </w:r>
      <w:r w:rsidR="00C03479" w:rsidRPr="00E56594">
        <w:rPr>
          <w:lang w:val="de-DE"/>
        </w:rPr>
        <w:t xml:space="preserve">speziell auf Tiefbohrungen ausgerichtete </w:t>
      </w:r>
      <w:r w:rsidRPr="00E56594">
        <w:rPr>
          <w:lang w:val="de-DE"/>
        </w:rPr>
        <w:t>Auswertung des Einflusses des Trockenwette</w:t>
      </w:r>
      <w:r w:rsidRPr="00E56594">
        <w:rPr>
          <w:lang w:val="de-DE"/>
        </w:rPr>
        <w:t>r</w:t>
      </w:r>
      <w:r w:rsidRPr="00E56594">
        <w:rPr>
          <w:lang w:val="de-DE"/>
        </w:rPr>
        <w:t>jahres 2015</w:t>
      </w:r>
      <w:r w:rsidR="00757B47" w:rsidRPr="00E56594">
        <w:rPr>
          <w:lang w:val="de-DE"/>
        </w:rPr>
        <w:t xml:space="preserve"> </w:t>
      </w:r>
      <w:r w:rsidRPr="00E56594">
        <w:rPr>
          <w:lang w:val="de-DE"/>
        </w:rPr>
        <w:t>wurde im deutschen Elbegebiet nicht durchgeführt.</w:t>
      </w:r>
    </w:p>
    <w:p w:rsidR="00370625" w:rsidRPr="007916D6" w:rsidRDefault="00370625" w:rsidP="009C16C8">
      <w:pPr>
        <w:rPr>
          <w:lang w:val="de-DE"/>
        </w:rPr>
      </w:pPr>
    </w:p>
    <w:p w:rsidR="008010F8" w:rsidRPr="007916D6" w:rsidRDefault="008010F8" w:rsidP="00370625">
      <w:pPr>
        <w:pStyle w:val="berschrift2"/>
        <w:rPr>
          <w:noProof/>
        </w:rPr>
      </w:pPr>
      <w:r w:rsidRPr="007916D6">
        <w:rPr>
          <w:noProof/>
        </w:rPr>
        <w:t>Fazit</w:t>
      </w:r>
    </w:p>
    <w:p w:rsidR="008010F8" w:rsidRPr="007916D6" w:rsidRDefault="008010F8" w:rsidP="008010F8">
      <w:pPr>
        <w:rPr>
          <w:bCs/>
          <w:noProof/>
          <w:szCs w:val="22"/>
          <w:lang w:val="de-DE"/>
        </w:rPr>
      </w:pPr>
    </w:p>
    <w:p w:rsidR="008010F8" w:rsidRPr="007916D6" w:rsidRDefault="008010F8" w:rsidP="008010F8">
      <w:pPr>
        <w:rPr>
          <w:szCs w:val="22"/>
          <w:lang w:val="de-DE"/>
        </w:rPr>
      </w:pPr>
      <w:r w:rsidRPr="007916D6">
        <w:rPr>
          <w:bCs/>
          <w:noProof/>
          <w:szCs w:val="22"/>
          <w:lang w:val="de-DE"/>
        </w:rPr>
        <w:t xml:space="preserve">Bei der Bewertung des Grundwassers im Jahr 2015 </w:t>
      </w:r>
      <w:r w:rsidR="00E51AAB" w:rsidRPr="007916D6">
        <w:rPr>
          <w:bCs/>
          <w:noProof/>
          <w:szCs w:val="22"/>
          <w:lang w:val="de-DE"/>
        </w:rPr>
        <w:t>ist</w:t>
      </w:r>
      <w:r w:rsidRPr="007916D6">
        <w:rPr>
          <w:bCs/>
          <w:noProof/>
          <w:szCs w:val="22"/>
          <w:lang w:val="de-DE"/>
        </w:rPr>
        <w:t xml:space="preserve"> </w:t>
      </w:r>
      <w:r w:rsidR="0031125C" w:rsidRPr="007916D6">
        <w:rPr>
          <w:bCs/>
          <w:noProof/>
          <w:szCs w:val="22"/>
          <w:lang w:val="de-DE"/>
        </w:rPr>
        <w:t xml:space="preserve">in der </w:t>
      </w:r>
      <w:r w:rsidR="0031125C" w:rsidRPr="007916D6">
        <w:rPr>
          <w:b/>
          <w:bCs/>
          <w:noProof/>
          <w:szCs w:val="22"/>
          <w:lang w:val="de-DE"/>
        </w:rPr>
        <w:t>Tschechischen Republik</w:t>
      </w:r>
      <w:r w:rsidR="0031125C" w:rsidRPr="007916D6">
        <w:rPr>
          <w:bCs/>
          <w:noProof/>
          <w:szCs w:val="22"/>
          <w:lang w:val="de-DE"/>
        </w:rPr>
        <w:t xml:space="preserve"> </w:t>
      </w:r>
      <w:r w:rsidR="00435F33" w:rsidRPr="007916D6">
        <w:rPr>
          <w:bCs/>
          <w:noProof/>
          <w:szCs w:val="22"/>
          <w:lang w:val="de-DE"/>
        </w:rPr>
        <w:t xml:space="preserve">in den flachen Grundwasserleitern </w:t>
      </w:r>
      <w:r w:rsidRPr="007916D6">
        <w:rPr>
          <w:bCs/>
          <w:noProof/>
          <w:szCs w:val="22"/>
          <w:lang w:val="de-DE"/>
        </w:rPr>
        <w:t xml:space="preserve">schon in den Frühjahrsmonaten ein Grundwasserdefizit </w:t>
      </w:r>
      <w:r w:rsidR="00E51AAB" w:rsidRPr="007916D6">
        <w:rPr>
          <w:bCs/>
          <w:noProof/>
          <w:szCs w:val="22"/>
          <w:lang w:val="de-DE"/>
        </w:rPr>
        <w:t>zu erkennen</w:t>
      </w:r>
      <w:r w:rsidRPr="007916D6">
        <w:rPr>
          <w:szCs w:val="22"/>
          <w:lang w:val="de-DE"/>
        </w:rPr>
        <w:t>, als die Wasserstände in den Flachbohrungen zur Zeit der üblichen Frühjahrsmaxima leicht bis stark unter den Normalwerten lagen. Bereits im März traten sehr niedrige Wasse</w:t>
      </w:r>
      <w:r w:rsidRPr="007916D6">
        <w:rPr>
          <w:szCs w:val="22"/>
          <w:lang w:val="de-DE"/>
        </w:rPr>
        <w:t>r</w:t>
      </w:r>
      <w:r w:rsidRPr="007916D6">
        <w:rPr>
          <w:szCs w:val="22"/>
          <w:lang w:val="de-DE"/>
        </w:rPr>
        <w:t>stände auf, und zwar insbesondere i</w:t>
      </w:r>
      <w:r w:rsidR="00AF160C" w:rsidRPr="007916D6">
        <w:rPr>
          <w:szCs w:val="22"/>
          <w:lang w:val="de-DE"/>
        </w:rPr>
        <w:t>n den Teile</w:t>
      </w:r>
      <w:r w:rsidRPr="007916D6">
        <w:rPr>
          <w:szCs w:val="22"/>
          <w:lang w:val="de-DE"/>
        </w:rPr>
        <w:t>inzugsgebiet</w:t>
      </w:r>
      <w:r w:rsidR="00AF160C" w:rsidRPr="007916D6">
        <w:rPr>
          <w:szCs w:val="22"/>
          <w:lang w:val="de-DE"/>
        </w:rPr>
        <w:t>en</w:t>
      </w:r>
      <w:r w:rsidRPr="007916D6">
        <w:rPr>
          <w:szCs w:val="22"/>
          <w:lang w:val="de-DE"/>
        </w:rPr>
        <w:t xml:space="preserve"> der tschechischen </w:t>
      </w:r>
      <w:r w:rsidR="00AF160C" w:rsidRPr="007916D6">
        <w:rPr>
          <w:szCs w:val="22"/>
          <w:lang w:val="de-DE"/>
        </w:rPr>
        <w:t>O</w:t>
      </w:r>
      <w:r w:rsidRPr="007916D6">
        <w:rPr>
          <w:szCs w:val="22"/>
          <w:lang w:val="de-DE"/>
        </w:rPr>
        <w:t>beren und mittleren Elbe</w:t>
      </w:r>
      <w:r w:rsidR="00AF160C" w:rsidRPr="007916D6">
        <w:rPr>
          <w:szCs w:val="22"/>
          <w:lang w:val="de-DE"/>
        </w:rPr>
        <w:t>,</w:t>
      </w:r>
      <w:r w:rsidRPr="007916D6">
        <w:rPr>
          <w:szCs w:val="22"/>
          <w:lang w:val="de-DE"/>
        </w:rPr>
        <w:t xml:space="preserve"> der </w:t>
      </w:r>
      <w:r w:rsidR="00AF160C" w:rsidRPr="007916D6">
        <w:rPr>
          <w:szCs w:val="22"/>
          <w:lang w:val="de-DE"/>
        </w:rPr>
        <w:t xml:space="preserve">Oberen </w:t>
      </w:r>
      <w:r w:rsidRPr="007916D6">
        <w:rPr>
          <w:szCs w:val="22"/>
          <w:lang w:val="de-DE"/>
        </w:rPr>
        <w:t>Moldau</w:t>
      </w:r>
      <w:r w:rsidR="00AF160C" w:rsidRPr="007916D6">
        <w:rPr>
          <w:szCs w:val="22"/>
          <w:lang w:val="de-DE"/>
        </w:rPr>
        <w:t xml:space="preserve">, der </w:t>
      </w:r>
      <w:proofErr w:type="spellStart"/>
      <w:r w:rsidR="00AF160C" w:rsidRPr="007916D6">
        <w:rPr>
          <w:szCs w:val="22"/>
          <w:lang w:val="de-DE"/>
        </w:rPr>
        <w:t>Berounka</w:t>
      </w:r>
      <w:proofErr w:type="spellEnd"/>
      <w:r w:rsidR="00AF160C" w:rsidRPr="007916D6">
        <w:rPr>
          <w:szCs w:val="22"/>
          <w:lang w:val="de-DE"/>
        </w:rPr>
        <w:t xml:space="preserve"> und der Unteren Moldau</w:t>
      </w:r>
      <w:r w:rsidRPr="007916D6">
        <w:rPr>
          <w:bCs/>
          <w:szCs w:val="22"/>
          <w:lang w:val="de-DE"/>
        </w:rPr>
        <w:t xml:space="preserve">. </w:t>
      </w:r>
      <w:r w:rsidR="00E51AAB" w:rsidRPr="007916D6">
        <w:rPr>
          <w:bCs/>
          <w:szCs w:val="22"/>
          <w:lang w:val="de-DE"/>
        </w:rPr>
        <w:t xml:space="preserve">Im Hinblick auf die </w:t>
      </w:r>
      <w:r w:rsidRPr="007916D6">
        <w:rPr>
          <w:bCs/>
          <w:szCs w:val="22"/>
          <w:lang w:val="de-DE"/>
        </w:rPr>
        <w:t>Einordnung der Wasserstände in den Flachbohrungen auf den monatlichen Überschreitung</w:t>
      </w:r>
      <w:r w:rsidRPr="007916D6">
        <w:rPr>
          <w:bCs/>
          <w:szCs w:val="22"/>
          <w:lang w:val="de-DE"/>
        </w:rPr>
        <w:t>s</w:t>
      </w:r>
      <w:r w:rsidRPr="007916D6">
        <w:rPr>
          <w:bCs/>
          <w:szCs w:val="22"/>
          <w:lang w:val="de-DE"/>
        </w:rPr>
        <w:t xml:space="preserve">kurven war </w:t>
      </w:r>
      <w:r w:rsidR="00435F33" w:rsidRPr="007916D6">
        <w:rPr>
          <w:bCs/>
          <w:szCs w:val="22"/>
          <w:lang w:val="de-DE"/>
        </w:rPr>
        <w:t xml:space="preserve">Mitte August </w:t>
      </w:r>
      <w:r w:rsidRPr="007916D6">
        <w:rPr>
          <w:bCs/>
          <w:szCs w:val="22"/>
          <w:lang w:val="de-DE"/>
        </w:rPr>
        <w:t>d</w:t>
      </w:r>
      <w:r w:rsidR="00E51AAB" w:rsidRPr="007916D6">
        <w:rPr>
          <w:bCs/>
          <w:szCs w:val="22"/>
          <w:lang w:val="de-DE"/>
        </w:rPr>
        <w:t>i</w:t>
      </w:r>
      <w:r w:rsidRPr="007916D6">
        <w:rPr>
          <w:bCs/>
          <w:szCs w:val="22"/>
          <w:lang w:val="de-DE"/>
        </w:rPr>
        <w:t>e trockenste Zeit</w:t>
      </w:r>
      <w:r w:rsidR="00E51AAB" w:rsidRPr="007916D6">
        <w:rPr>
          <w:bCs/>
          <w:szCs w:val="22"/>
          <w:lang w:val="de-DE"/>
        </w:rPr>
        <w:t>,</w:t>
      </w:r>
      <w:r w:rsidRPr="007916D6">
        <w:rPr>
          <w:bCs/>
          <w:szCs w:val="22"/>
          <w:lang w:val="de-DE"/>
        </w:rPr>
        <w:t xml:space="preserve"> für die Quellschüttungen war es Ende September</w:t>
      </w:r>
      <w:r w:rsidRPr="007916D6">
        <w:rPr>
          <w:szCs w:val="22"/>
          <w:lang w:val="de-DE"/>
        </w:rPr>
        <w:t>.</w:t>
      </w:r>
    </w:p>
    <w:p w:rsidR="008010F8" w:rsidRPr="007916D6" w:rsidRDefault="008010F8" w:rsidP="008010F8">
      <w:pPr>
        <w:rPr>
          <w:bCs/>
          <w:szCs w:val="22"/>
          <w:lang w:val="de-DE"/>
        </w:rPr>
      </w:pPr>
    </w:p>
    <w:p w:rsidR="008010F8" w:rsidRPr="007916D6" w:rsidRDefault="008010F8" w:rsidP="008010F8">
      <w:pPr>
        <w:rPr>
          <w:szCs w:val="22"/>
          <w:lang w:val="de-DE"/>
        </w:rPr>
      </w:pPr>
      <w:r w:rsidRPr="007916D6">
        <w:rPr>
          <w:bCs/>
          <w:szCs w:val="22"/>
          <w:lang w:val="de-DE"/>
        </w:rPr>
        <w:t xml:space="preserve">Bereits ab Juli war </w:t>
      </w:r>
      <w:r w:rsidR="00AF160C" w:rsidRPr="007916D6">
        <w:rPr>
          <w:szCs w:val="22"/>
          <w:lang w:val="de-DE"/>
        </w:rPr>
        <w:t>das Teileinzugsgebiet der tschechischen Oberen und mittleren Elbe</w:t>
      </w:r>
      <w:r w:rsidR="00AF160C" w:rsidRPr="007916D6">
        <w:rPr>
          <w:bCs/>
          <w:szCs w:val="22"/>
          <w:lang w:val="de-DE"/>
        </w:rPr>
        <w:t xml:space="preserve"> </w:t>
      </w:r>
      <w:r w:rsidRPr="007916D6">
        <w:rPr>
          <w:bCs/>
          <w:szCs w:val="22"/>
          <w:lang w:val="de-DE"/>
        </w:rPr>
        <w:t>(</w:t>
      </w:r>
      <w:r w:rsidR="00AF160C" w:rsidRPr="007916D6">
        <w:rPr>
          <w:bCs/>
          <w:szCs w:val="22"/>
          <w:lang w:val="de-DE"/>
        </w:rPr>
        <w:t>Nor</w:t>
      </w:r>
      <w:r w:rsidR="00AF160C" w:rsidRPr="007916D6">
        <w:rPr>
          <w:bCs/>
          <w:szCs w:val="22"/>
          <w:lang w:val="de-DE"/>
        </w:rPr>
        <w:t>d</w:t>
      </w:r>
      <w:r w:rsidR="00AF160C" w:rsidRPr="007916D6">
        <w:rPr>
          <w:bCs/>
          <w:szCs w:val="22"/>
          <w:lang w:val="de-DE"/>
        </w:rPr>
        <w:t>ostböhmen</w:t>
      </w:r>
      <w:r w:rsidRPr="007916D6">
        <w:rPr>
          <w:bCs/>
          <w:szCs w:val="22"/>
          <w:lang w:val="de-DE"/>
        </w:rPr>
        <w:t xml:space="preserve">) das am stärksten von der </w:t>
      </w:r>
      <w:r w:rsidR="00E51AAB" w:rsidRPr="007916D6">
        <w:rPr>
          <w:bCs/>
          <w:szCs w:val="22"/>
          <w:lang w:val="de-DE"/>
        </w:rPr>
        <w:t>Niedrigwassersituation</w:t>
      </w:r>
      <w:r w:rsidRPr="007916D6">
        <w:rPr>
          <w:bCs/>
          <w:szCs w:val="22"/>
          <w:lang w:val="de-DE"/>
        </w:rPr>
        <w:t xml:space="preserve"> betroffene Gebiet, und zwar s</w:t>
      </w:r>
      <w:r w:rsidRPr="007916D6">
        <w:rPr>
          <w:bCs/>
          <w:szCs w:val="22"/>
          <w:lang w:val="de-DE"/>
        </w:rPr>
        <w:t>o</w:t>
      </w:r>
      <w:r w:rsidRPr="007916D6">
        <w:rPr>
          <w:bCs/>
          <w:szCs w:val="22"/>
          <w:lang w:val="de-DE"/>
        </w:rPr>
        <w:t xml:space="preserve">wohl in den flacheren als auch den tieferen Grundwasserleitern. </w:t>
      </w:r>
      <w:r w:rsidRPr="007916D6">
        <w:rPr>
          <w:szCs w:val="22"/>
          <w:lang w:val="de-DE"/>
        </w:rPr>
        <w:t>Etwas anders war die Situation bei den tiefsten Grundwasserleitern</w:t>
      </w:r>
      <w:r w:rsidR="00E51AAB" w:rsidRPr="007916D6">
        <w:rPr>
          <w:szCs w:val="22"/>
          <w:lang w:val="de-DE"/>
        </w:rPr>
        <w:t>, die mit Tiefenbohrungen überwacht werden</w:t>
      </w:r>
      <w:r w:rsidRPr="007916D6">
        <w:rPr>
          <w:szCs w:val="22"/>
          <w:lang w:val="de-DE"/>
        </w:rPr>
        <w:t>. Bis</w:t>
      </w:r>
      <w:r w:rsidR="00E51AAB" w:rsidRPr="007916D6">
        <w:rPr>
          <w:szCs w:val="22"/>
          <w:lang w:val="de-DE"/>
        </w:rPr>
        <w:t xml:space="preserve"> </w:t>
      </w:r>
      <w:r w:rsidR="00A04C9F" w:rsidRPr="007916D6">
        <w:rPr>
          <w:szCs w:val="22"/>
          <w:lang w:val="de-DE"/>
        </w:rPr>
        <w:t>in den</w:t>
      </w:r>
      <w:r w:rsidRPr="007916D6">
        <w:rPr>
          <w:szCs w:val="22"/>
          <w:lang w:val="de-DE"/>
        </w:rPr>
        <w:t xml:space="preserve"> Mai </w:t>
      </w:r>
      <w:r w:rsidR="00E51AAB" w:rsidRPr="007916D6">
        <w:rPr>
          <w:szCs w:val="22"/>
          <w:lang w:val="de-DE"/>
        </w:rPr>
        <w:t>blieb</w:t>
      </w:r>
      <w:r w:rsidRPr="007916D6">
        <w:rPr>
          <w:szCs w:val="22"/>
          <w:lang w:val="de-DE"/>
        </w:rPr>
        <w:t>en die Wasserstände in den Tiefenbohrungen gleich, mit zeitweiligen Rückgängen und A</w:t>
      </w:r>
      <w:r w:rsidRPr="007916D6">
        <w:rPr>
          <w:szCs w:val="22"/>
          <w:lang w:val="de-DE"/>
        </w:rPr>
        <w:t>n</w:t>
      </w:r>
      <w:r w:rsidRPr="007916D6">
        <w:rPr>
          <w:szCs w:val="22"/>
          <w:lang w:val="de-DE"/>
        </w:rPr>
        <w:t xml:space="preserve">stiegen </w:t>
      </w:r>
      <w:r w:rsidR="00E51AAB" w:rsidRPr="007916D6">
        <w:rPr>
          <w:szCs w:val="22"/>
          <w:lang w:val="de-DE"/>
        </w:rPr>
        <w:t>sowie</w:t>
      </w:r>
      <w:r w:rsidRPr="007916D6">
        <w:rPr>
          <w:szCs w:val="22"/>
          <w:lang w:val="de-DE"/>
        </w:rPr>
        <w:t xml:space="preserve"> im innerjährlichen Vergleich ähnlich. Ein leichtes Abfallen begann sich erst mit Beginn des Sommers zu zeigen und setzte sich durchgängig bis Oktober fort, als die Wasse</w:t>
      </w:r>
      <w:r w:rsidRPr="007916D6">
        <w:rPr>
          <w:szCs w:val="22"/>
          <w:lang w:val="de-DE"/>
        </w:rPr>
        <w:t>r</w:t>
      </w:r>
      <w:r w:rsidRPr="007916D6">
        <w:rPr>
          <w:szCs w:val="22"/>
          <w:lang w:val="de-DE"/>
        </w:rPr>
        <w:t>stände anfingen zu stagnieren und im Nordosten Böhmens leicht zu steigen.</w:t>
      </w:r>
    </w:p>
    <w:p w:rsidR="008010F8" w:rsidRPr="007916D6" w:rsidRDefault="008010F8" w:rsidP="008010F8">
      <w:pPr>
        <w:rPr>
          <w:bCs/>
          <w:szCs w:val="22"/>
          <w:lang w:val="de-DE"/>
        </w:rPr>
      </w:pPr>
    </w:p>
    <w:p w:rsidR="008010F8" w:rsidRPr="007916D6" w:rsidRDefault="008010F8" w:rsidP="008010F8">
      <w:pPr>
        <w:rPr>
          <w:bCs/>
          <w:szCs w:val="22"/>
          <w:lang w:val="de-DE"/>
        </w:rPr>
      </w:pPr>
      <w:r w:rsidRPr="007916D6">
        <w:rPr>
          <w:szCs w:val="22"/>
          <w:lang w:val="de-DE"/>
        </w:rPr>
        <w:t xml:space="preserve">Aus längerfristiger Sicht (1981 – 2015) wird offensichtlich, dass die </w:t>
      </w:r>
      <w:r w:rsidR="00AF160C" w:rsidRPr="007916D6">
        <w:rPr>
          <w:szCs w:val="22"/>
          <w:lang w:val="de-DE"/>
        </w:rPr>
        <w:t xml:space="preserve">2015 </w:t>
      </w:r>
      <w:r w:rsidRPr="007916D6">
        <w:rPr>
          <w:szCs w:val="22"/>
          <w:lang w:val="de-DE"/>
        </w:rPr>
        <w:t>untersuchten Param</w:t>
      </w:r>
      <w:r w:rsidRPr="007916D6">
        <w:rPr>
          <w:szCs w:val="22"/>
          <w:lang w:val="de-DE"/>
        </w:rPr>
        <w:t>e</w:t>
      </w:r>
      <w:r w:rsidRPr="007916D6">
        <w:rPr>
          <w:szCs w:val="22"/>
          <w:lang w:val="de-DE"/>
        </w:rPr>
        <w:t xml:space="preserve">ter bis auf sehr niedrige </w:t>
      </w:r>
      <w:r w:rsidR="00E51AAB" w:rsidRPr="007916D6">
        <w:rPr>
          <w:szCs w:val="22"/>
          <w:lang w:val="de-DE"/>
        </w:rPr>
        <w:t>Niveaus</w:t>
      </w:r>
      <w:r w:rsidRPr="007916D6">
        <w:rPr>
          <w:szCs w:val="22"/>
          <w:lang w:val="de-DE"/>
        </w:rPr>
        <w:t xml:space="preserve"> sanken und dass man das Jahr </w:t>
      </w:r>
      <w:r w:rsidR="00AF160C" w:rsidRPr="007916D6">
        <w:rPr>
          <w:szCs w:val="22"/>
          <w:lang w:val="de-DE"/>
        </w:rPr>
        <w:t xml:space="preserve">2015 </w:t>
      </w:r>
      <w:r w:rsidRPr="007916D6">
        <w:rPr>
          <w:szCs w:val="22"/>
          <w:lang w:val="de-DE"/>
        </w:rPr>
        <w:t xml:space="preserve">den Niedrigwasserjahren zuordnen kann, ähnlich wie die Jahre 1991, 1992, 1993, 2003, 2004 bzw. 2009. </w:t>
      </w:r>
      <w:commentRangeStart w:id="3"/>
      <w:r w:rsidRPr="007916D6">
        <w:rPr>
          <w:szCs w:val="22"/>
          <w:lang w:val="de-DE"/>
        </w:rPr>
        <w:t>In der jährl</w:t>
      </w:r>
      <w:r w:rsidRPr="007916D6">
        <w:rPr>
          <w:szCs w:val="22"/>
          <w:lang w:val="de-DE"/>
        </w:rPr>
        <w:t>i</w:t>
      </w:r>
      <w:r w:rsidRPr="007916D6">
        <w:rPr>
          <w:szCs w:val="22"/>
          <w:lang w:val="de-DE"/>
        </w:rPr>
        <w:t>chen Gesamtbewertung war 2015 jedoch nicht das trockenste Jahr.</w:t>
      </w:r>
      <w:bookmarkStart w:id="4" w:name="_GoBack"/>
      <w:bookmarkEnd w:id="4"/>
      <w:commentRangeEnd w:id="3"/>
      <w:r w:rsidR="00754458">
        <w:rPr>
          <w:rStyle w:val="Kommentarzeichen"/>
        </w:rPr>
        <w:commentReference w:id="3"/>
      </w:r>
      <w:r w:rsidRPr="007916D6">
        <w:rPr>
          <w:szCs w:val="22"/>
          <w:lang w:val="de-DE"/>
        </w:rPr>
        <w:t xml:space="preserve"> Die </w:t>
      </w:r>
      <w:r w:rsidR="00AF160C" w:rsidRPr="007916D6">
        <w:rPr>
          <w:szCs w:val="22"/>
          <w:lang w:val="de-DE"/>
        </w:rPr>
        <w:t>n</w:t>
      </w:r>
      <w:r w:rsidRPr="007916D6">
        <w:rPr>
          <w:szCs w:val="22"/>
          <w:lang w:val="de-DE"/>
        </w:rPr>
        <w:t>iederschlags</w:t>
      </w:r>
      <w:r w:rsidR="00AF160C" w:rsidRPr="007916D6">
        <w:rPr>
          <w:szCs w:val="22"/>
          <w:lang w:val="de-DE"/>
        </w:rPr>
        <w:t>reiche</w:t>
      </w:r>
      <w:r w:rsidR="00DB0214" w:rsidRPr="007916D6">
        <w:rPr>
          <w:szCs w:val="22"/>
          <w:lang w:val="de-DE"/>
        </w:rPr>
        <w:t>re</w:t>
      </w:r>
      <w:r w:rsidR="00AF160C" w:rsidRPr="007916D6">
        <w:rPr>
          <w:szCs w:val="22"/>
          <w:lang w:val="de-DE"/>
        </w:rPr>
        <w:t xml:space="preserve"> P</w:t>
      </w:r>
      <w:r w:rsidRPr="007916D6">
        <w:rPr>
          <w:szCs w:val="22"/>
          <w:lang w:val="de-DE"/>
        </w:rPr>
        <w:t>eriode im Herbst füllte die flachen und tieferen Grundwasserleiter teilweise auf und verbesse</w:t>
      </w:r>
      <w:r w:rsidRPr="007916D6">
        <w:rPr>
          <w:szCs w:val="22"/>
          <w:lang w:val="de-DE"/>
        </w:rPr>
        <w:t>r</w:t>
      </w:r>
      <w:r w:rsidRPr="007916D6">
        <w:rPr>
          <w:szCs w:val="22"/>
          <w:lang w:val="de-DE"/>
        </w:rPr>
        <w:t>te somit die Gesamtbilanz des Jahres für das Grundwasser.</w:t>
      </w:r>
    </w:p>
    <w:p w:rsidR="00C92FEB" w:rsidRPr="007916D6" w:rsidRDefault="00C92FEB" w:rsidP="008010F8">
      <w:pPr>
        <w:rPr>
          <w:lang w:val="de-DE"/>
        </w:rPr>
      </w:pPr>
    </w:p>
    <w:p w:rsidR="009C16C8" w:rsidRPr="00E56594" w:rsidRDefault="009C16C8" w:rsidP="009C16C8">
      <w:pPr>
        <w:rPr>
          <w:szCs w:val="22"/>
          <w:lang w:val="de-DE"/>
        </w:rPr>
      </w:pPr>
      <w:r w:rsidRPr="00E56594">
        <w:rPr>
          <w:szCs w:val="22"/>
          <w:lang w:val="de-DE"/>
        </w:rPr>
        <w:t xml:space="preserve">In Deutschland sind sowohl </w:t>
      </w:r>
      <w:r w:rsidR="00B924E2" w:rsidRPr="00E56594">
        <w:rPr>
          <w:szCs w:val="22"/>
          <w:lang w:val="de-DE"/>
        </w:rPr>
        <w:t xml:space="preserve">räumlich </w:t>
      </w:r>
      <w:r w:rsidRPr="00E56594">
        <w:rPr>
          <w:szCs w:val="22"/>
          <w:lang w:val="de-DE"/>
        </w:rPr>
        <w:t>als auch jahreszeitlich betrachtet keine einheitlichen Te</w:t>
      </w:r>
      <w:r w:rsidRPr="00E56594">
        <w:rPr>
          <w:szCs w:val="22"/>
          <w:lang w:val="de-DE"/>
        </w:rPr>
        <w:t>n</w:t>
      </w:r>
      <w:r w:rsidRPr="00E56594">
        <w:rPr>
          <w:szCs w:val="22"/>
          <w:lang w:val="de-DE"/>
        </w:rPr>
        <w:t xml:space="preserve">denzen im Grundwasserstand für das Jahr 2015 zu erkennen. </w:t>
      </w:r>
    </w:p>
    <w:p w:rsidR="00140797" w:rsidRPr="00E56594" w:rsidRDefault="00140797" w:rsidP="009C16C8">
      <w:pPr>
        <w:rPr>
          <w:szCs w:val="22"/>
          <w:lang w:val="de-DE"/>
        </w:rPr>
      </w:pPr>
    </w:p>
    <w:p w:rsidR="009C16C8" w:rsidRPr="00E56594" w:rsidRDefault="009C16C8" w:rsidP="009C16C8">
      <w:pPr>
        <w:rPr>
          <w:szCs w:val="22"/>
          <w:lang w:val="de-DE"/>
        </w:rPr>
      </w:pPr>
      <w:r w:rsidRPr="00E56594">
        <w:rPr>
          <w:szCs w:val="22"/>
          <w:lang w:val="de-DE"/>
        </w:rPr>
        <w:t xml:space="preserve">In Sachsen haben sich seit dem Hochwasserereignis von 2013 die Grundwasserstände und Quellschüttungen landesweit quasi kontinuierlich verringert. </w:t>
      </w:r>
      <w:r w:rsidR="006A334A" w:rsidRPr="00E56594">
        <w:rPr>
          <w:szCs w:val="22"/>
          <w:lang w:val="de-DE"/>
        </w:rPr>
        <w:t>In den Wintern 2013/14 und 2014/15</w:t>
      </w:r>
      <w:r w:rsidRPr="00E56594">
        <w:rPr>
          <w:szCs w:val="22"/>
          <w:lang w:val="de-DE"/>
        </w:rPr>
        <w:t xml:space="preserve"> fand keine </w:t>
      </w:r>
      <w:r w:rsidR="006A334A" w:rsidRPr="00E56594">
        <w:rPr>
          <w:szCs w:val="22"/>
          <w:lang w:val="de-DE"/>
        </w:rPr>
        <w:t xml:space="preserve">nennenswerte </w:t>
      </w:r>
      <w:r w:rsidRPr="00E56594">
        <w:rPr>
          <w:szCs w:val="22"/>
          <w:lang w:val="de-DE"/>
        </w:rPr>
        <w:t>Grundwasserneubildung statt. 17 Prozent aller sächsischen Grundwassermessstellen hatten im Jahre 2015 ihren niedrigsten Wert bezogen (NW) auf alle Messstellen mit mehr als fünf vollständigen Abflussjahren.</w:t>
      </w:r>
    </w:p>
    <w:p w:rsidR="009C16C8" w:rsidRPr="00E56594" w:rsidRDefault="009C16C8" w:rsidP="009C16C8">
      <w:pPr>
        <w:rPr>
          <w:szCs w:val="22"/>
          <w:lang w:val="de-DE"/>
        </w:rPr>
      </w:pPr>
    </w:p>
    <w:p w:rsidR="008950A8" w:rsidRPr="00E56594" w:rsidRDefault="008950A8" w:rsidP="008950A8">
      <w:pPr>
        <w:rPr>
          <w:szCs w:val="22"/>
          <w:lang w:val="de-DE"/>
        </w:rPr>
      </w:pPr>
      <w:r w:rsidRPr="00E56594">
        <w:rPr>
          <w:szCs w:val="22"/>
          <w:lang w:val="de-DE"/>
        </w:rPr>
        <w:t>In Niedersachsen ist von 2012 bis 2015 eine fehlende Auffüllung des Grundwasserreservoirs in den Wintermonaten festzustellen. Die winterlichen Höchststände weisen bis 2015 eine abne</w:t>
      </w:r>
      <w:r w:rsidRPr="00E56594">
        <w:rPr>
          <w:szCs w:val="22"/>
          <w:lang w:val="de-DE"/>
        </w:rPr>
        <w:t>h</w:t>
      </w:r>
      <w:r w:rsidRPr="00E56594">
        <w:rPr>
          <w:szCs w:val="22"/>
          <w:lang w:val="de-DE"/>
        </w:rPr>
        <w:t xml:space="preserve">mende Tendenz auf. Die mit der Trockenheit 2015 einhergehende sommerliche Absenkung führte somit in der Regel zu einem </w:t>
      </w:r>
      <w:r w:rsidR="003A70ED">
        <w:rPr>
          <w:szCs w:val="22"/>
          <w:lang w:val="de-DE"/>
        </w:rPr>
        <w:t>besonders</w:t>
      </w:r>
      <w:r w:rsidR="003A70ED" w:rsidRPr="00E56594">
        <w:rPr>
          <w:szCs w:val="22"/>
          <w:lang w:val="de-DE"/>
        </w:rPr>
        <w:t xml:space="preserve"> </w:t>
      </w:r>
      <w:r w:rsidRPr="00E56594">
        <w:rPr>
          <w:szCs w:val="22"/>
          <w:lang w:val="de-DE"/>
        </w:rPr>
        <w:t>niedrigen Grundwasse</w:t>
      </w:r>
      <w:r w:rsidRPr="00E56594">
        <w:rPr>
          <w:szCs w:val="22"/>
          <w:lang w:val="de-DE"/>
        </w:rPr>
        <w:t>r</w:t>
      </w:r>
      <w:r w:rsidRPr="00E56594">
        <w:rPr>
          <w:szCs w:val="22"/>
          <w:lang w:val="de-DE"/>
        </w:rPr>
        <w:t>stand.</w:t>
      </w:r>
    </w:p>
    <w:p w:rsidR="008950A8" w:rsidRPr="00E56594" w:rsidRDefault="008950A8" w:rsidP="009C16C8">
      <w:pPr>
        <w:rPr>
          <w:szCs w:val="22"/>
          <w:lang w:val="de-DE"/>
        </w:rPr>
      </w:pPr>
    </w:p>
    <w:p w:rsidR="00140797" w:rsidRPr="007916D6" w:rsidRDefault="00CA469A" w:rsidP="008010F8">
      <w:pPr>
        <w:rPr>
          <w:szCs w:val="22"/>
          <w:highlight w:val="yellow"/>
          <w:lang w:val="de-DE"/>
        </w:rPr>
      </w:pPr>
      <w:r w:rsidRPr="00E56594">
        <w:rPr>
          <w:szCs w:val="22"/>
          <w:lang w:val="de-DE"/>
        </w:rPr>
        <w:t>Für</w:t>
      </w:r>
      <w:r w:rsidR="009C16C8" w:rsidRPr="00E56594">
        <w:rPr>
          <w:szCs w:val="22"/>
          <w:lang w:val="de-DE"/>
        </w:rPr>
        <w:t xml:space="preserve"> das Einzugsgebiet der Elbe </w:t>
      </w:r>
      <w:r w:rsidRPr="00E56594">
        <w:rPr>
          <w:szCs w:val="22"/>
          <w:lang w:val="de-DE"/>
        </w:rPr>
        <w:t xml:space="preserve">kann </w:t>
      </w:r>
      <w:r w:rsidR="009C16C8" w:rsidRPr="00E56594">
        <w:rPr>
          <w:szCs w:val="22"/>
          <w:lang w:val="de-DE"/>
        </w:rPr>
        <w:t>auf sachsen-anhaltinischem</w:t>
      </w:r>
      <w:r w:rsidR="00D256EF" w:rsidRPr="00E56594">
        <w:rPr>
          <w:szCs w:val="22"/>
          <w:lang w:val="de-DE"/>
        </w:rPr>
        <w:t>, brandenburgischem</w:t>
      </w:r>
      <w:r w:rsidR="009C16C8" w:rsidRPr="00E56594">
        <w:rPr>
          <w:szCs w:val="22"/>
          <w:lang w:val="de-DE"/>
        </w:rPr>
        <w:t xml:space="preserve"> </w:t>
      </w:r>
      <w:r w:rsidR="00140797" w:rsidRPr="00E56594">
        <w:rPr>
          <w:szCs w:val="22"/>
          <w:lang w:val="de-DE"/>
        </w:rPr>
        <w:t>und th</w:t>
      </w:r>
      <w:r w:rsidR="00140797" w:rsidRPr="00E56594">
        <w:rPr>
          <w:szCs w:val="22"/>
          <w:lang w:val="de-DE"/>
        </w:rPr>
        <w:t>ü</w:t>
      </w:r>
      <w:r w:rsidR="00140797" w:rsidRPr="00E56594">
        <w:rPr>
          <w:szCs w:val="22"/>
          <w:lang w:val="de-DE"/>
        </w:rPr>
        <w:t xml:space="preserve">ringischem </w:t>
      </w:r>
      <w:r w:rsidR="009C16C8" w:rsidRPr="00E56594">
        <w:rPr>
          <w:szCs w:val="22"/>
          <w:lang w:val="de-DE"/>
        </w:rPr>
        <w:t>Gebiet im Jahr 2015 keine generelle Niedrigwassersituation im Grundwasser fes</w:t>
      </w:r>
      <w:r w:rsidR="009C16C8" w:rsidRPr="00E56594">
        <w:rPr>
          <w:szCs w:val="22"/>
          <w:lang w:val="de-DE"/>
        </w:rPr>
        <w:t>t</w:t>
      </w:r>
      <w:r w:rsidR="009C16C8" w:rsidRPr="00E56594">
        <w:rPr>
          <w:szCs w:val="22"/>
          <w:lang w:val="de-DE"/>
        </w:rPr>
        <w:t>gestellt werden.</w:t>
      </w:r>
      <w:r w:rsidR="00483796" w:rsidRPr="00E56594">
        <w:rPr>
          <w:szCs w:val="22"/>
          <w:lang w:val="de-DE"/>
        </w:rPr>
        <w:t xml:space="preserve"> </w:t>
      </w:r>
      <w:r w:rsidRPr="00E56594">
        <w:rPr>
          <w:szCs w:val="22"/>
          <w:lang w:val="de-DE"/>
        </w:rPr>
        <w:t>Ebenso war</w:t>
      </w:r>
      <w:r w:rsidR="00584049" w:rsidRPr="00E56594">
        <w:rPr>
          <w:szCs w:val="22"/>
          <w:lang w:val="de-DE"/>
        </w:rPr>
        <w:t>en</w:t>
      </w:r>
      <w:r w:rsidRPr="00E56594">
        <w:rPr>
          <w:szCs w:val="22"/>
          <w:lang w:val="de-DE"/>
        </w:rPr>
        <w:t xml:space="preserve"> </w:t>
      </w:r>
      <w:r w:rsidR="00140797" w:rsidRPr="00E56594">
        <w:rPr>
          <w:szCs w:val="22"/>
          <w:lang w:val="de-DE"/>
        </w:rPr>
        <w:t xml:space="preserve">Schleswig-Holstein </w:t>
      </w:r>
      <w:r w:rsidR="00584049" w:rsidRPr="00E56594">
        <w:rPr>
          <w:szCs w:val="22"/>
          <w:lang w:val="de-DE"/>
        </w:rPr>
        <w:t>und Hamburg</w:t>
      </w:r>
      <w:r w:rsidR="003A70ED" w:rsidRPr="00E56594">
        <w:rPr>
          <w:szCs w:val="22"/>
          <w:lang w:val="de-DE"/>
        </w:rPr>
        <w:t xml:space="preserve"> </w:t>
      </w:r>
      <w:r w:rsidR="003A70ED">
        <w:rPr>
          <w:szCs w:val="22"/>
          <w:lang w:val="de-DE"/>
        </w:rPr>
        <w:t>(</w:t>
      </w:r>
      <w:r w:rsidR="003A70ED" w:rsidRPr="003C5AAC">
        <w:rPr>
          <w:lang w:val="de-DE"/>
        </w:rPr>
        <w:t>sowohl tidebeeinflusst als auch tideunbeeinflusst</w:t>
      </w:r>
      <w:r w:rsidR="003A70ED" w:rsidRPr="003C5AAC">
        <w:rPr>
          <w:szCs w:val="22"/>
          <w:lang w:val="de-DE"/>
        </w:rPr>
        <w:t>)</w:t>
      </w:r>
      <w:r w:rsidR="00584049" w:rsidRPr="00E56594">
        <w:rPr>
          <w:szCs w:val="22"/>
          <w:lang w:val="de-DE"/>
        </w:rPr>
        <w:t xml:space="preserve"> </w:t>
      </w:r>
      <w:r w:rsidRPr="00E56594">
        <w:rPr>
          <w:szCs w:val="22"/>
          <w:lang w:val="de-DE"/>
        </w:rPr>
        <w:t xml:space="preserve">im Jahr </w:t>
      </w:r>
      <w:r w:rsidR="00140797" w:rsidRPr="00E56594">
        <w:rPr>
          <w:szCs w:val="22"/>
          <w:lang w:val="de-DE"/>
        </w:rPr>
        <w:t>2015 nicht von einer Niedrigwasserperiode betroffen.</w:t>
      </w:r>
      <w:r w:rsidR="006B07F7" w:rsidRPr="00E56594">
        <w:rPr>
          <w:lang w:val="de-DE"/>
        </w:rPr>
        <w:t xml:space="preserve"> </w:t>
      </w:r>
    </w:p>
    <w:p w:rsidR="00483796" w:rsidRPr="007916D6" w:rsidRDefault="00483796" w:rsidP="008010F8">
      <w:pPr>
        <w:rPr>
          <w:szCs w:val="22"/>
          <w:highlight w:val="yellow"/>
          <w:lang w:val="de-DE"/>
        </w:rPr>
      </w:pPr>
    </w:p>
    <w:p w:rsidR="00483796" w:rsidRPr="007916D6" w:rsidRDefault="00483796" w:rsidP="008010F8">
      <w:pPr>
        <w:rPr>
          <w:lang w:val="de-DE"/>
        </w:rPr>
      </w:pPr>
      <w:r w:rsidRPr="00E56594">
        <w:rPr>
          <w:lang w:val="de-DE"/>
        </w:rPr>
        <w:t xml:space="preserve">Im deutschen Elbeeinzugsgebiet waren im vergangenen Jahr </w:t>
      </w:r>
      <w:r w:rsidR="00F01B5C" w:rsidRPr="00E56594">
        <w:rPr>
          <w:lang w:val="de-DE"/>
        </w:rPr>
        <w:t>trotz der lokal auftretenden Nie</w:t>
      </w:r>
      <w:r w:rsidR="00F01B5C" w:rsidRPr="00E56594">
        <w:rPr>
          <w:lang w:val="de-DE"/>
        </w:rPr>
        <w:t>d</w:t>
      </w:r>
      <w:r w:rsidR="00F01B5C" w:rsidRPr="00E56594">
        <w:rPr>
          <w:lang w:val="de-DE"/>
        </w:rPr>
        <w:t xml:space="preserve">rigwassersituation aufgrund der insgesamt verfügbaren Grundwasservorräte </w:t>
      </w:r>
      <w:r w:rsidRPr="00E56594">
        <w:rPr>
          <w:lang w:val="de-DE"/>
        </w:rPr>
        <w:t xml:space="preserve">keine spezifischen Anpassungsmaßnahmen </w:t>
      </w:r>
      <w:r w:rsidR="00F01B5C" w:rsidRPr="00E56594">
        <w:rPr>
          <w:lang w:val="de-DE"/>
        </w:rPr>
        <w:t xml:space="preserve">im Hinblick auf die Wasserversorgung </w:t>
      </w:r>
      <w:r w:rsidRPr="00E56594">
        <w:rPr>
          <w:lang w:val="de-DE"/>
        </w:rPr>
        <w:t>erforderlich.</w:t>
      </w:r>
    </w:p>
    <w:sectPr w:rsidR="00483796" w:rsidRPr="007916D6" w:rsidSect="000123AF">
      <w:headerReference w:type="default" r:id="rId10"/>
      <w:footerReference w:type="default" r:id="rId11"/>
      <w:headerReference w:type="first" r:id="rId12"/>
      <w:footerReference w:type="first" r:id="rId13"/>
      <w:pgSz w:w="11906" w:h="16838" w:code="9"/>
      <w:pgMar w:top="1701" w:right="1134" w:bottom="1134" w:left="1418" w:header="709" w:footer="567"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Knotek, Pavel" w:date="2017-02-09T09:57:00Z" w:initials="KP">
    <w:p w:rsidR="005F0790" w:rsidRDefault="005F0790">
      <w:pPr>
        <w:pStyle w:val="Kommentartext"/>
      </w:pPr>
      <w:r>
        <w:rPr>
          <w:rStyle w:val="Kommentarzeichen"/>
        </w:rPr>
        <w:annotationRef/>
      </w:r>
    </w:p>
    <w:p w:rsidR="005F0790" w:rsidRDefault="005F0790">
      <w:pPr>
        <w:pStyle w:val="Kommentartext"/>
        <w:rPr>
          <w:lang w:val="de-DE"/>
        </w:rPr>
      </w:pPr>
      <w:r>
        <w:rPr>
          <w:lang w:val="de-DE"/>
        </w:rPr>
        <w:t xml:space="preserve">Die Expertengruppe GW stimmt </w:t>
      </w:r>
      <w:r w:rsidR="002B62C1">
        <w:rPr>
          <w:lang w:val="de-DE"/>
        </w:rPr>
        <w:t>einer eventuellen</w:t>
      </w:r>
      <w:r>
        <w:rPr>
          <w:lang w:val="de-DE"/>
        </w:rPr>
        <w:t xml:space="preserve"> Unterteilung in </w:t>
      </w:r>
      <w:r w:rsidR="009C157B">
        <w:rPr>
          <w:lang w:val="de-DE"/>
        </w:rPr>
        <w:t xml:space="preserve">einen </w:t>
      </w:r>
      <w:r w:rsidR="002A4A4F">
        <w:rPr>
          <w:lang w:val="de-DE"/>
        </w:rPr>
        <w:t>A</w:t>
      </w:r>
      <w:r w:rsidR="002A4A4F">
        <w:rPr>
          <w:lang w:val="de-DE"/>
        </w:rPr>
        <w:t>b</w:t>
      </w:r>
      <w:r w:rsidR="002A4A4F">
        <w:rPr>
          <w:lang w:val="de-DE"/>
        </w:rPr>
        <w:t xml:space="preserve">schnitt </w:t>
      </w:r>
      <w:r>
        <w:rPr>
          <w:lang w:val="de-DE"/>
        </w:rPr>
        <w:t xml:space="preserve">für Deutschland und </w:t>
      </w:r>
      <w:r w:rsidR="009C157B">
        <w:rPr>
          <w:lang w:val="de-DE"/>
        </w:rPr>
        <w:t xml:space="preserve">einen </w:t>
      </w:r>
      <w:r w:rsidR="002A4A4F">
        <w:rPr>
          <w:lang w:val="de-DE"/>
        </w:rPr>
        <w:t>A</w:t>
      </w:r>
      <w:r w:rsidR="002A4A4F">
        <w:rPr>
          <w:lang w:val="de-DE"/>
        </w:rPr>
        <w:t>b</w:t>
      </w:r>
      <w:r w:rsidR="002A4A4F">
        <w:rPr>
          <w:lang w:val="de-DE"/>
        </w:rPr>
        <w:t xml:space="preserve">schnitt </w:t>
      </w:r>
      <w:r w:rsidR="009C157B">
        <w:rPr>
          <w:lang w:val="de-DE"/>
        </w:rPr>
        <w:t xml:space="preserve">für </w:t>
      </w:r>
      <w:r>
        <w:rPr>
          <w:lang w:val="de-DE"/>
        </w:rPr>
        <w:t>die Tschechische Republik zu.</w:t>
      </w:r>
    </w:p>
    <w:p w:rsidR="005F0790" w:rsidRDefault="005F0790">
      <w:pPr>
        <w:pStyle w:val="Kommentartext"/>
        <w:rPr>
          <w:lang w:val="de-DE"/>
        </w:rPr>
      </w:pPr>
    </w:p>
    <w:p w:rsidR="005F0790" w:rsidRPr="005F0790" w:rsidRDefault="005F0790">
      <w:pPr>
        <w:pStyle w:val="Kommentartext"/>
        <w:rPr>
          <w:lang w:val="de-DE"/>
        </w:rPr>
      </w:pPr>
      <w:r>
        <w:rPr>
          <w:lang w:val="de-DE"/>
        </w:rPr>
        <w:t>Die Einleitung (ggf. auch d</w:t>
      </w:r>
      <w:r w:rsidR="009C157B">
        <w:rPr>
          <w:lang w:val="de-DE"/>
        </w:rPr>
        <w:t>as</w:t>
      </w:r>
      <w:r>
        <w:rPr>
          <w:lang w:val="de-DE"/>
        </w:rPr>
        <w:t xml:space="preserve"> Fazit) könnte(n) dabei gemeinsam sein (</w:t>
      </w:r>
      <w:r w:rsidR="009C157B">
        <w:rPr>
          <w:lang w:val="de-DE"/>
        </w:rPr>
        <w:t>ist</w:t>
      </w:r>
      <w:r>
        <w:rPr>
          <w:lang w:val="de-DE"/>
        </w:rPr>
        <w:t xml:space="preserve"> noch </w:t>
      </w:r>
      <w:r w:rsidR="009C157B">
        <w:rPr>
          <w:lang w:val="de-DE"/>
        </w:rPr>
        <w:t>zu klär</w:t>
      </w:r>
      <w:r>
        <w:rPr>
          <w:lang w:val="de-DE"/>
        </w:rPr>
        <w:t xml:space="preserve">en). Die tschechische Seite würde </w:t>
      </w:r>
      <w:r w:rsidR="009C157B">
        <w:rPr>
          <w:lang w:val="de-DE"/>
        </w:rPr>
        <w:t>in der</w:t>
      </w:r>
      <w:r>
        <w:rPr>
          <w:lang w:val="de-DE"/>
        </w:rPr>
        <w:t xml:space="preserve"> Tabelle in der Einleitung Angaben</w:t>
      </w:r>
      <w:r w:rsidR="009C157B">
        <w:rPr>
          <w:lang w:val="de-DE"/>
        </w:rPr>
        <w:t xml:space="preserve"> zum</w:t>
      </w:r>
      <w:r>
        <w:rPr>
          <w:lang w:val="de-DE"/>
        </w:rPr>
        <w:t xml:space="preserve"> Vorgehen in der Tsch</w:t>
      </w:r>
      <w:r>
        <w:rPr>
          <w:lang w:val="de-DE"/>
        </w:rPr>
        <w:t>e</w:t>
      </w:r>
      <w:r>
        <w:rPr>
          <w:lang w:val="de-DE"/>
        </w:rPr>
        <w:t>chischen Republik ergänzen.</w:t>
      </w:r>
    </w:p>
  </w:comment>
  <w:comment w:id="1" w:author="Knotek, Pavel" w:date="2017-02-08T13:54:00Z" w:initials="KP">
    <w:p w:rsidR="00EA32FA" w:rsidRPr="00FD5753" w:rsidRDefault="00EA32FA">
      <w:pPr>
        <w:pStyle w:val="Kommentartext"/>
        <w:rPr>
          <w:lang w:val="de-DE"/>
        </w:rPr>
      </w:pPr>
      <w:r>
        <w:rPr>
          <w:rStyle w:val="Kommentarzeichen"/>
        </w:rPr>
        <w:annotationRef/>
      </w:r>
      <w:r w:rsidRPr="00FD5753">
        <w:rPr>
          <w:lang w:val="de-DE"/>
        </w:rPr>
        <w:t xml:space="preserve">Die Richtigkeit des Begriffs </w:t>
      </w:r>
      <w:r w:rsidR="00FD5753" w:rsidRPr="00FD5753">
        <w:rPr>
          <w:lang w:val="de-DE"/>
        </w:rPr>
        <w:t xml:space="preserve">„Niedrigwasser“ </w:t>
      </w:r>
      <w:r w:rsidR="009C157B">
        <w:rPr>
          <w:lang w:val="de-DE"/>
        </w:rPr>
        <w:t>ist</w:t>
      </w:r>
      <w:r w:rsidR="00FD5753" w:rsidRPr="00FD5753">
        <w:rPr>
          <w:lang w:val="de-DE"/>
        </w:rPr>
        <w:t xml:space="preserve"> von der Expe</w:t>
      </w:r>
      <w:r w:rsidR="00FD5753" w:rsidRPr="00FD5753">
        <w:rPr>
          <w:lang w:val="de-DE"/>
        </w:rPr>
        <w:t>r</w:t>
      </w:r>
      <w:r w:rsidR="00FD5753" w:rsidRPr="00FD5753">
        <w:rPr>
          <w:lang w:val="de-DE"/>
        </w:rPr>
        <w:t xml:space="preserve">tengruppe Hydrologie </w:t>
      </w:r>
      <w:r w:rsidR="009C157B">
        <w:rPr>
          <w:lang w:val="de-DE"/>
        </w:rPr>
        <w:t xml:space="preserve">zu </w:t>
      </w:r>
      <w:r w:rsidR="00FD5753" w:rsidRPr="00FD5753">
        <w:rPr>
          <w:lang w:val="de-DE"/>
        </w:rPr>
        <w:t>prüfen.</w:t>
      </w:r>
    </w:p>
  </w:comment>
  <w:comment w:id="2" w:author="Knotek, Pavel" w:date="2017-02-09T11:16:00Z" w:initials="KP">
    <w:p w:rsidR="008945BA" w:rsidRDefault="008945BA">
      <w:pPr>
        <w:pStyle w:val="Kommentartext"/>
      </w:pPr>
      <w:r>
        <w:rPr>
          <w:rStyle w:val="Kommentarzeichen"/>
        </w:rPr>
        <w:annotationRef/>
      </w:r>
    </w:p>
    <w:p w:rsidR="008945BA" w:rsidRPr="00171455" w:rsidRDefault="00171455">
      <w:pPr>
        <w:pStyle w:val="Kommentartext"/>
        <w:rPr>
          <w:lang w:val="de-DE"/>
        </w:rPr>
      </w:pPr>
      <w:r>
        <w:t xml:space="preserve">In der </w:t>
      </w:r>
      <w:proofErr w:type="spellStart"/>
      <w:r>
        <w:t>Auswertung</w:t>
      </w:r>
      <w:proofErr w:type="spellEnd"/>
      <w:r>
        <w:t xml:space="preserve"> f</w:t>
      </w:r>
      <w:proofErr w:type="spellStart"/>
      <w:r>
        <w:rPr>
          <w:lang w:val="de-DE"/>
        </w:rPr>
        <w:t>ür</w:t>
      </w:r>
      <w:proofErr w:type="spellEnd"/>
      <w:r>
        <w:rPr>
          <w:lang w:val="de-DE"/>
        </w:rPr>
        <w:t xml:space="preserve"> die Tschechische Republik wäre es vorteilhaft, eine detaillie</w:t>
      </w:r>
      <w:r>
        <w:rPr>
          <w:lang w:val="de-DE"/>
        </w:rPr>
        <w:t>r</w:t>
      </w:r>
      <w:r>
        <w:rPr>
          <w:lang w:val="de-DE"/>
        </w:rPr>
        <w:t xml:space="preserve">tere Bewertung nach den Kategorien für </w:t>
      </w:r>
      <w:r w:rsidR="002A4A4F">
        <w:rPr>
          <w:lang w:val="de-DE"/>
        </w:rPr>
        <w:t>Niedrigwasser</w:t>
      </w:r>
      <w:r>
        <w:rPr>
          <w:lang w:val="de-DE"/>
        </w:rPr>
        <w:t xml:space="preserve"> zu ergänzen, wie es die Deutschen gemacht haben. Die Tschechen erwähnen </w:t>
      </w:r>
      <w:r w:rsidR="00854619">
        <w:rPr>
          <w:lang w:val="de-DE"/>
        </w:rPr>
        <w:t xml:space="preserve">diese Kategorien </w:t>
      </w:r>
      <w:r>
        <w:rPr>
          <w:lang w:val="de-DE"/>
        </w:rPr>
        <w:t>in der Einle</w:t>
      </w:r>
      <w:r>
        <w:rPr>
          <w:lang w:val="de-DE"/>
        </w:rPr>
        <w:t>i</w:t>
      </w:r>
      <w:r>
        <w:rPr>
          <w:lang w:val="de-DE"/>
        </w:rPr>
        <w:t xml:space="preserve">tung </w:t>
      </w:r>
      <w:r>
        <w:t xml:space="preserve">(25 % - 75 % = </w:t>
      </w:r>
      <w:proofErr w:type="spellStart"/>
      <w:r>
        <w:t>Normalwerte</w:t>
      </w:r>
      <w:proofErr w:type="spellEnd"/>
      <w:r>
        <w:t xml:space="preserve">, 75 % - 85 % = </w:t>
      </w:r>
      <w:proofErr w:type="spellStart"/>
      <w:r>
        <w:t>mä</w:t>
      </w:r>
      <w:r>
        <w:rPr>
          <w:lang w:val="de-DE"/>
        </w:rPr>
        <w:t>ßige</w:t>
      </w:r>
      <w:r w:rsidR="002A4A4F">
        <w:rPr>
          <w:lang w:val="de-DE"/>
        </w:rPr>
        <w:t>s</w:t>
      </w:r>
      <w:proofErr w:type="spellEnd"/>
      <w:r>
        <w:rPr>
          <w:lang w:val="de-DE"/>
        </w:rPr>
        <w:t xml:space="preserve"> </w:t>
      </w:r>
      <w:r w:rsidR="002A4A4F">
        <w:rPr>
          <w:lang w:val="de-DE"/>
        </w:rPr>
        <w:t>Niedrigwasser</w:t>
      </w:r>
      <w:r>
        <w:t>, 85 % - 95</w:t>
      </w:r>
      <w:r w:rsidR="00854619">
        <w:t> </w:t>
      </w:r>
      <w:r>
        <w:t xml:space="preserve">% = </w:t>
      </w:r>
      <w:proofErr w:type="spellStart"/>
      <w:r>
        <w:t>starke</w:t>
      </w:r>
      <w:r w:rsidR="002A4A4F">
        <w:t>s</w:t>
      </w:r>
      <w:proofErr w:type="spellEnd"/>
      <w:r>
        <w:t xml:space="preserve"> </w:t>
      </w:r>
      <w:proofErr w:type="spellStart"/>
      <w:r w:rsidR="002A4A4F">
        <w:t>Niedrigwasser</w:t>
      </w:r>
      <w:proofErr w:type="spellEnd"/>
      <w:r>
        <w:t>, 95 % - 100</w:t>
      </w:r>
      <w:r w:rsidR="002A4A4F">
        <w:t> </w:t>
      </w:r>
      <w:r>
        <w:t xml:space="preserve">% = </w:t>
      </w:r>
      <w:proofErr w:type="spellStart"/>
      <w:r>
        <w:t>extreme</w:t>
      </w:r>
      <w:r w:rsidR="002A4A4F">
        <w:t>s</w:t>
      </w:r>
      <w:proofErr w:type="spellEnd"/>
      <w:r w:rsidR="002A4A4F">
        <w:t xml:space="preserve"> </w:t>
      </w:r>
      <w:proofErr w:type="spellStart"/>
      <w:r w:rsidR="002A4A4F">
        <w:t>Niedrigwasser</w:t>
      </w:r>
      <w:proofErr w:type="spellEnd"/>
      <w:r>
        <w:t>.</w:t>
      </w:r>
    </w:p>
  </w:comment>
  <w:comment w:id="3" w:author="Knotek, Pavel" w:date="2017-02-08T13:55:00Z" w:initials="KP">
    <w:p w:rsidR="00754458" w:rsidRDefault="00754458">
      <w:pPr>
        <w:pStyle w:val="Kommentartext"/>
      </w:pPr>
      <w:r>
        <w:rPr>
          <w:rStyle w:val="Kommentarzeichen"/>
        </w:rPr>
        <w:annotationRef/>
      </w:r>
    </w:p>
    <w:p w:rsidR="00754458" w:rsidRPr="00754458" w:rsidRDefault="00754458">
      <w:pPr>
        <w:pStyle w:val="Kommentartext"/>
        <w:rPr>
          <w:lang w:val="de-DE"/>
        </w:rPr>
      </w:pPr>
      <w:r w:rsidRPr="00754458">
        <w:rPr>
          <w:lang w:val="de-DE"/>
        </w:rPr>
        <w:t>Bitte</w:t>
      </w:r>
      <w:r w:rsidR="009C157B">
        <w:rPr>
          <w:lang w:val="de-DE"/>
        </w:rPr>
        <w:t xml:space="preserve"> näher</w:t>
      </w:r>
      <w:r w:rsidRPr="00754458">
        <w:rPr>
          <w:lang w:val="de-DE"/>
        </w:rPr>
        <w:t xml:space="preserve"> ausführen. Welches Jahr war also das trockenste?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84B" w:rsidRDefault="00B5784B">
      <w:r>
        <w:separator/>
      </w:r>
    </w:p>
  </w:endnote>
  <w:endnote w:type="continuationSeparator" w:id="0">
    <w:p w:rsidR="00B5784B" w:rsidRDefault="00B57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Fett">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C7F" w:rsidRPr="00CD3D50" w:rsidRDefault="00886239" w:rsidP="009059A5">
    <w:pPr>
      <w:pBdr>
        <w:top w:val="single" w:sz="4" w:space="1" w:color="auto"/>
      </w:pBdr>
      <w:tabs>
        <w:tab w:val="right" w:pos="9360"/>
      </w:tabs>
      <w:rPr>
        <w:rFonts w:cs="Arial"/>
        <w:sz w:val="14"/>
        <w:lang w:val="de-DE"/>
      </w:rPr>
    </w:pPr>
    <w:r>
      <w:rPr>
        <w:rFonts w:cs="Arial"/>
        <w:sz w:val="14"/>
      </w:rPr>
      <w:fldChar w:fldCharType="begin"/>
    </w:r>
    <w:r w:rsidR="00387C7F" w:rsidRPr="007916D6">
      <w:rPr>
        <w:rFonts w:cs="Arial"/>
        <w:sz w:val="14"/>
        <w:lang w:val="de-DE"/>
      </w:rPr>
      <w:instrText xml:space="preserve"> PAGE </w:instrText>
    </w:r>
    <w:r>
      <w:rPr>
        <w:rFonts w:cs="Arial"/>
        <w:sz w:val="14"/>
      </w:rPr>
      <w:fldChar w:fldCharType="separate"/>
    </w:r>
    <w:r w:rsidR="0019144F">
      <w:rPr>
        <w:rFonts w:cs="Arial"/>
        <w:noProof/>
        <w:sz w:val="14"/>
        <w:lang w:val="de-DE"/>
      </w:rPr>
      <w:t>6</w:t>
    </w:r>
    <w:r>
      <w:rPr>
        <w:rFonts w:cs="Arial"/>
        <w:sz w:val="14"/>
      </w:rPr>
      <w:fldChar w:fldCharType="end"/>
    </w:r>
    <w:r w:rsidR="00387C7F" w:rsidRPr="007916D6">
      <w:rPr>
        <w:rFonts w:cs="Arial"/>
        <w:sz w:val="14"/>
        <w:lang w:val="de-DE"/>
      </w:rPr>
      <w:t>/</w:t>
    </w:r>
    <w:r>
      <w:rPr>
        <w:rFonts w:cs="Arial"/>
        <w:sz w:val="14"/>
      </w:rPr>
      <w:fldChar w:fldCharType="begin"/>
    </w:r>
    <w:r w:rsidR="00387C7F" w:rsidRPr="007916D6">
      <w:rPr>
        <w:rFonts w:cs="Arial"/>
        <w:sz w:val="14"/>
        <w:lang w:val="de-DE"/>
      </w:rPr>
      <w:instrText xml:space="preserve"> NUMPAGES </w:instrText>
    </w:r>
    <w:r>
      <w:rPr>
        <w:rFonts w:cs="Arial"/>
        <w:sz w:val="14"/>
      </w:rPr>
      <w:fldChar w:fldCharType="separate"/>
    </w:r>
    <w:r w:rsidR="0019144F">
      <w:rPr>
        <w:rFonts w:cs="Arial"/>
        <w:noProof/>
        <w:sz w:val="14"/>
        <w:lang w:val="de-DE"/>
      </w:rPr>
      <w:t>6</w:t>
    </w:r>
    <w:r>
      <w:rPr>
        <w:rFonts w:cs="Arial"/>
        <w:sz w:val="14"/>
      </w:rPr>
      <w:fldChar w:fldCharType="end"/>
    </w:r>
    <w:r w:rsidR="00387C7F" w:rsidRPr="007916D6">
      <w:rPr>
        <w:rFonts w:cs="Arial"/>
        <w:sz w:val="14"/>
        <w:lang w:val="de-DE"/>
      </w:rPr>
      <w:tab/>
    </w:r>
    <w:r>
      <w:rPr>
        <w:rFonts w:cs="Arial"/>
        <w:sz w:val="14"/>
      </w:rPr>
      <w:fldChar w:fldCharType="begin"/>
    </w:r>
    <w:r w:rsidR="00387C7F" w:rsidRPr="007916D6">
      <w:rPr>
        <w:rFonts w:cs="Arial"/>
        <w:sz w:val="14"/>
        <w:lang w:val="de-DE"/>
      </w:rPr>
      <w:instrText xml:space="preserve"> FILENAME \p </w:instrText>
    </w:r>
    <w:r>
      <w:rPr>
        <w:rFonts w:cs="Arial"/>
        <w:sz w:val="14"/>
      </w:rPr>
      <w:fldChar w:fldCharType="separate"/>
    </w:r>
    <w:r w:rsidR="00854619">
      <w:rPr>
        <w:rFonts w:cs="Arial"/>
        <w:noProof/>
        <w:sz w:val="14"/>
        <w:lang w:val="de-DE"/>
      </w:rPr>
      <w:t>K:\EG\GW\21\D\Ergebnisvermerk\Anlagen\IKSE-GW21 Anl_06_EV Kap_04_Grundwasser_06022017.docx</w:t>
    </w:r>
    <w:r>
      <w:rPr>
        <w:rFonts w:cs="Arial"/>
        <w:sz w:val="14"/>
      </w:rPr>
      <w:fldChar w:fldCharType="end"/>
    </w:r>
    <w:r w:rsidR="00387C7F">
      <w:rPr>
        <w:rFonts w:cs="Arial"/>
        <w:sz w:val="14"/>
        <w:lang w:val="de-DE"/>
      </w:rPr>
      <w:t>/</w:t>
    </w:r>
    <w:proofErr w:type="spellStart"/>
    <w:r w:rsidR="00387C7F">
      <w:rPr>
        <w:rFonts w:cs="Arial"/>
        <w:sz w:val="14"/>
        <w:lang w:val="de-DE"/>
      </w:rPr>
      <w:t>Be</w:t>
    </w:r>
    <w:r w:rsidR="00C77BF9">
      <w:rPr>
        <w:rFonts w:cs="Arial"/>
        <w:sz w:val="14"/>
        <w:lang w:val="de-DE"/>
      </w:rPr>
      <w:t>Kno</w:t>
    </w:r>
    <w:proofErr w:type="spellEnd"/>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C7F" w:rsidRDefault="00886239">
    <w:pPr>
      <w:pBdr>
        <w:top w:val="single" w:sz="4" w:space="1" w:color="auto"/>
      </w:pBdr>
      <w:tabs>
        <w:tab w:val="right" w:pos="9360"/>
      </w:tabs>
      <w:rPr>
        <w:rFonts w:cs="Arial"/>
        <w:sz w:val="14"/>
      </w:rPr>
    </w:pPr>
    <w:r>
      <w:rPr>
        <w:rFonts w:cs="Arial"/>
        <w:sz w:val="14"/>
      </w:rPr>
      <w:fldChar w:fldCharType="begin"/>
    </w:r>
    <w:r w:rsidR="00387C7F">
      <w:rPr>
        <w:rFonts w:cs="Arial"/>
        <w:sz w:val="14"/>
      </w:rPr>
      <w:instrText xml:space="preserve"> PAGE </w:instrText>
    </w:r>
    <w:r>
      <w:rPr>
        <w:rFonts w:cs="Arial"/>
        <w:sz w:val="14"/>
      </w:rPr>
      <w:fldChar w:fldCharType="separate"/>
    </w:r>
    <w:r w:rsidR="00387C7F">
      <w:rPr>
        <w:rFonts w:cs="Arial"/>
        <w:noProof/>
        <w:sz w:val="14"/>
      </w:rPr>
      <w:t>1</w:t>
    </w:r>
    <w:r>
      <w:rPr>
        <w:rFonts w:cs="Arial"/>
        <w:sz w:val="14"/>
      </w:rPr>
      <w:fldChar w:fldCharType="end"/>
    </w:r>
    <w:r w:rsidR="00387C7F">
      <w:rPr>
        <w:rFonts w:cs="Arial"/>
        <w:sz w:val="14"/>
      </w:rPr>
      <w:t>/</w:t>
    </w:r>
    <w:r>
      <w:rPr>
        <w:rFonts w:cs="Arial"/>
        <w:sz w:val="14"/>
      </w:rPr>
      <w:fldChar w:fldCharType="begin"/>
    </w:r>
    <w:r w:rsidR="00387C7F">
      <w:rPr>
        <w:rFonts w:cs="Arial"/>
        <w:sz w:val="14"/>
      </w:rPr>
      <w:instrText xml:space="preserve"> NUMPAGES </w:instrText>
    </w:r>
    <w:r>
      <w:rPr>
        <w:rFonts w:cs="Arial"/>
        <w:sz w:val="14"/>
      </w:rPr>
      <w:fldChar w:fldCharType="separate"/>
    </w:r>
    <w:r w:rsidR="00854619">
      <w:rPr>
        <w:rFonts w:cs="Arial"/>
        <w:noProof/>
        <w:sz w:val="14"/>
      </w:rPr>
      <w:t>7</w:t>
    </w:r>
    <w:r>
      <w:rPr>
        <w:rFonts w:cs="Arial"/>
        <w:sz w:val="14"/>
      </w:rPr>
      <w:fldChar w:fldCharType="end"/>
    </w:r>
    <w:r w:rsidR="00387C7F">
      <w:rPr>
        <w:rFonts w:cs="Arial"/>
        <w:sz w:val="14"/>
      </w:rPr>
      <w:tab/>
    </w:r>
    <w:r>
      <w:rPr>
        <w:rFonts w:cs="Arial"/>
        <w:sz w:val="14"/>
      </w:rPr>
      <w:fldChar w:fldCharType="begin"/>
    </w:r>
    <w:r w:rsidR="00387C7F">
      <w:rPr>
        <w:rFonts w:cs="Arial"/>
        <w:sz w:val="14"/>
      </w:rPr>
      <w:instrText xml:space="preserve"> FILENAME \p </w:instrText>
    </w:r>
    <w:r>
      <w:rPr>
        <w:rFonts w:cs="Arial"/>
        <w:sz w:val="14"/>
      </w:rPr>
      <w:fldChar w:fldCharType="separate"/>
    </w:r>
    <w:r w:rsidR="00854619">
      <w:rPr>
        <w:rFonts w:cs="Arial"/>
        <w:noProof/>
        <w:sz w:val="14"/>
      </w:rPr>
      <w:t>K:\EG\GW\21\D\Ergebnisvermerk\Anlagen\IKSE-GW21 Anl_06_EV Kap_04_Grundwasser_06022017.docx</w:t>
    </w:r>
    <w:r>
      <w:rPr>
        <w:rFonts w:cs="Arial"/>
        <w:sz w:val="14"/>
      </w:rPr>
      <w:fldChar w:fldCharType="end"/>
    </w:r>
    <w:r w:rsidR="00387C7F">
      <w:rPr>
        <w:rFonts w:cs="Arial"/>
        <w:sz w:val="14"/>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84B" w:rsidRDefault="00B5784B">
      <w:r>
        <w:separator/>
      </w:r>
    </w:p>
  </w:footnote>
  <w:footnote w:type="continuationSeparator" w:id="0">
    <w:p w:rsidR="00B5784B" w:rsidRDefault="00B5784B">
      <w:r>
        <w:continuationSeparator/>
      </w:r>
    </w:p>
  </w:footnote>
  <w:footnote w:id="1">
    <w:p w:rsidR="008C52DE" w:rsidRPr="00CD3299" w:rsidRDefault="008C52DE" w:rsidP="00CD3299">
      <w:pPr>
        <w:pStyle w:val="Funotentext"/>
        <w:ind w:left="284" w:hanging="284"/>
        <w:rPr>
          <w:sz w:val="16"/>
          <w:szCs w:val="16"/>
        </w:rPr>
      </w:pPr>
      <w:r>
        <w:rPr>
          <w:rStyle w:val="Funotenzeichen"/>
        </w:rPr>
        <w:footnoteRef/>
      </w:r>
      <w:r w:rsidR="00CD3299">
        <w:tab/>
      </w:r>
      <w:r w:rsidRPr="00CD3299">
        <w:rPr>
          <w:rFonts w:cs="Arial"/>
          <w:sz w:val="16"/>
          <w:szCs w:val="16"/>
          <w:lang w:val="de-DE"/>
        </w:rPr>
        <w:t>Die Auswertung erfolgte speziell für den Monat Juni. Hintergrund war eine Anfrage aus dem politischen Raum.</w:t>
      </w:r>
    </w:p>
  </w:footnote>
  <w:footnote w:id="2">
    <w:p w:rsidR="00CD3299" w:rsidRPr="00CD3299" w:rsidRDefault="00CD3299" w:rsidP="00CD3299">
      <w:pPr>
        <w:pStyle w:val="Funotentext"/>
        <w:ind w:left="284" w:hanging="284"/>
        <w:rPr>
          <w:sz w:val="16"/>
          <w:szCs w:val="16"/>
        </w:rPr>
      </w:pPr>
      <w:r>
        <w:rPr>
          <w:rStyle w:val="Funotenzeichen"/>
        </w:rPr>
        <w:footnoteRef/>
      </w:r>
      <w:r>
        <w:tab/>
      </w:r>
      <w:r w:rsidRPr="00CD3299">
        <w:rPr>
          <w:sz w:val="16"/>
          <w:szCs w:val="16"/>
          <w:lang w:val="de-DE"/>
        </w:rPr>
        <w:t xml:space="preserve">In Hamburg wird der Wasserstand der Elbe vor allem durch Ebbe und Flut beeinflusst. Diese Tideeinflüsse wirken sich auch auf die Grundwasserstände in den </w:t>
      </w:r>
      <w:proofErr w:type="spellStart"/>
      <w:r w:rsidRPr="00CD3299">
        <w:rPr>
          <w:sz w:val="16"/>
          <w:szCs w:val="16"/>
          <w:lang w:val="de-DE"/>
        </w:rPr>
        <w:t>elbnahen</w:t>
      </w:r>
      <w:proofErr w:type="spellEnd"/>
      <w:r w:rsidRPr="00CD3299">
        <w:rPr>
          <w:sz w:val="16"/>
          <w:szCs w:val="16"/>
          <w:lang w:val="de-DE"/>
        </w:rPr>
        <w:t xml:space="preserve"> Grundwassermessstellen aus.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C7F" w:rsidRPr="007916D6" w:rsidRDefault="00387C7F" w:rsidP="007A74D9">
    <w:pPr>
      <w:pStyle w:val="Kopfzeile"/>
      <w:tabs>
        <w:tab w:val="clear" w:pos="4536"/>
        <w:tab w:val="clear" w:pos="9072"/>
        <w:tab w:val="right" w:pos="9356"/>
      </w:tabs>
      <w:rPr>
        <w:szCs w:val="20"/>
        <w:lang w:val="de-DE"/>
      </w:rPr>
    </w:pPr>
    <w:r w:rsidRPr="007916D6">
      <w:rPr>
        <w:noProof/>
        <w:lang w:val="de-DE"/>
      </w:rPr>
      <w:drawing>
        <wp:inline distT="0" distB="0" distL="0" distR="0" wp14:anchorId="5B9BFE4E" wp14:editId="0A77CD42">
          <wp:extent cx="286385" cy="225425"/>
          <wp:effectExtent l="19050" t="0" r="0" b="0"/>
          <wp:docPr id="3" name="Bild 1" descr="IKSE-MKOL-Logo-4F-Vorlage 600DPI-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KSE-MKOL-Logo-4F-Vorlage 600DPI-8mm"/>
                  <pic:cNvPicPr>
                    <a:picLocks noChangeAspect="1" noChangeArrowheads="1"/>
                  </pic:cNvPicPr>
                </pic:nvPicPr>
                <pic:blipFill>
                  <a:blip r:embed="rId1"/>
                  <a:srcRect/>
                  <a:stretch>
                    <a:fillRect/>
                  </a:stretch>
                </pic:blipFill>
                <pic:spPr bwMode="auto">
                  <a:xfrm>
                    <a:off x="0" y="0"/>
                    <a:ext cx="286385" cy="225425"/>
                  </a:xfrm>
                  <a:prstGeom prst="rect">
                    <a:avLst/>
                  </a:prstGeom>
                  <a:noFill/>
                  <a:ln w="9525">
                    <a:noFill/>
                    <a:miter lim="800000"/>
                    <a:headEnd/>
                    <a:tailEnd/>
                  </a:ln>
                </pic:spPr>
              </pic:pic>
            </a:graphicData>
          </a:graphic>
        </wp:inline>
      </w:drawing>
    </w:r>
    <w:r w:rsidRPr="007916D6">
      <w:rPr>
        <w:lang w:val="de-DE"/>
      </w:rPr>
      <w:tab/>
    </w:r>
    <w:r w:rsidR="002B62C1">
      <w:rPr>
        <w:lang w:val="de-DE"/>
      </w:rPr>
      <w:t>An</w:t>
    </w:r>
    <w:r w:rsidR="007916D6" w:rsidRPr="007916D6">
      <w:rPr>
        <w:lang w:val="de-DE"/>
      </w:rPr>
      <w:t xml:space="preserve">lage </w:t>
    </w:r>
    <w:r w:rsidR="002B62C1">
      <w:rPr>
        <w:lang w:val="de-DE"/>
      </w:rPr>
      <w:t>6</w:t>
    </w:r>
  </w:p>
  <w:p w:rsidR="00387C7F" w:rsidRPr="007916D6" w:rsidRDefault="008010F8" w:rsidP="006A3598">
    <w:pPr>
      <w:pStyle w:val="Kopfzeile20"/>
      <w:pBdr>
        <w:bottom w:val="single" w:sz="6" w:space="0" w:color="auto"/>
      </w:pBdr>
      <w:ind w:left="851" w:hanging="851"/>
    </w:pPr>
    <w:r w:rsidRPr="007916D6">
      <w:t xml:space="preserve">Expertengruppe </w:t>
    </w:r>
    <w:r w:rsidR="007916D6" w:rsidRPr="007916D6">
      <w:t>GW</w:t>
    </w:r>
    <w:r w:rsidR="00387C7F" w:rsidRPr="007916D6">
      <w:tab/>
    </w:r>
    <w:r w:rsidR="007916D6" w:rsidRPr="007916D6">
      <w:t xml:space="preserve">zum </w:t>
    </w:r>
    <w:r w:rsidR="002B62C1">
      <w:t xml:space="preserve">Ergebnisvermerk über die </w:t>
    </w:r>
    <w:r w:rsidR="007916D6" w:rsidRPr="007916D6">
      <w:t>21. Beratung</w:t>
    </w:r>
  </w:p>
  <w:p w:rsidR="00387C7F" w:rsidRPr="007916D6" w:rsidRDefault="00387C7F" w:rsidP="00A803B7">
    <w:pPr>
      <w:pStyle w:val="Kopfzeile"/>
      <w:rPr>
        <w:sz w:val="16"/>
        <w:lang w:val="de-D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C7F" w:rsidRDefault="00387C7F">
    <w:pPr>
      <w:pStyle w:val="Kopfzeile"/>
      <w:tabs>
        <w:tab w:val="clear" w:pos="9072"/>
        <w:tab w:val="right" w:pos="9360"/>
      </w:tabs>
      <w:ind w:left="360"/>
      <w:rPr>
        <w:rFonts w:cs="Arial"/>
        <w:sz w:val="14"/>
      </w:rPr>
    </w:pPr>
    <w:r>
      <w:rPr>
        <w:noProof/>
        <w:lang w:val="de-DE"/>
      </w:rPr>
      <w:drawing>
        <wp:inline distT="0" distB="0" distL="0" distR="0">
          <wp:extent cx="342900" cy="276225"/>
          <wp:effectExtent l="19050" t="0" r="0" b="0"/>
          <wp:docPr id="2" name="Bild 2" descr="IKSE-MKOL-Logo-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KSE-MKOL-Logo-4F"/>
                  <pic:cNvPicPr>
                    <a:picLocks noChangeAspect="1" noChangeArrowheads="1"/>
                  </pic:cNvPicPr>
                </pic:nvPicPr>
                <pic:blipFill>
                  <a:blip r:embed="rId1"/>
                  <a:srcRect/>
                  <a:stretch>
                    <a:fillRect/>
                  </a:stretch>
                </pic:blipFill>
                <pic:spPr bwMode="auto">
                  <a:xfrm>
                    <a:off x="0" y="0"/>
                    <a:ext cx="342900" cy="276225"/>
                  </a:xfrm>
                  <a:prstGeom prst="rect">
                    <a:avLst/>
                  </a:prstGeom>
                  <a:noFill/>
                  <a:ln w="9525">
                    <a:noFill/>
                    <a:miter lim="800000"/>
                    <a:headEnd/>
                    <a:tailEnd/>
                  </a:ln>
                </pic:spPr>
              </pic:pic>
            </a:graphicData>
          </a:graphic>
        </wp:inline>
      </w:drawing>
    </w:r>
    <w:r>
      <w:rPr>
        <w:rFonts w:cs="Arial"/>
      </w:rPr>
      <w:tab/>
    </w:r>
    <w:r>
      <w:rPr>
        <w:rFonts w:cs="Arial"/>
        <w:sz w:val="14"/>
      </w:rPr>
      <w:tab/>
      <w:t xml:space="preserve">Návrh, stav: </w:t>
    </w:r>
  </w:p>
  <w:p w:rsidR="00387C7F" w:rsidRDefault="00387C7F">
    <w:pPr>
      <w:pStyle w:val="Kopfzeile"/>
      <w:pBdr>
        <w:bottom w:val="single" w:sz="6" w:space="1" w:color="auto"/>
      </w:pBdr>
      <w:tabs>
        <w:tab w:val="clear" w:pos="9072"/>
        <w:tab w:val="right" w:pos="9360"/>
      </w:tabs>
      <w:spacing w:after="100"/>
      <w:rPr>
        <w:sz w:val="14"/>
      </w:rPr>
    </w:pPr>
    <w:r>
      <w:rPr>
        <w:rFonts w:cs="Arial"/>
        <w:sz w:val="14"/>
      </w:rPr>
      <w:t>Pracovni skupina WFD</w:t>
    </w:r>
    <w:r>
      <w:rPr>
        <w:rFonts w:cs="Arial"/>
        <w:sz w:val="14"/>
      </w:rPr>
      <w:tab/>
    </w:r>
    <w:r>
      <w:rPr>
        <w:rFonts w:cs="Arial"/>
        <w:sz w:val="14"/>
      </w:rPr>
      <w:tab/>
      <w:t xml:space="preserve">Záznam výsledků 17. porady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5DC7142"/>
    <w:multiLevelType w:val="hybridMultilevel"/>
    <w:tmpl w:val="7A8A8F66"/>
    <w:lvl w:ilvl="0" w:tplc="332A1D44">
      <w:start w:val="1"/>
      <w:numFmt w:val="decimal"/>
      <w:pStyle w:val="NummerierungBeschlussvorschlag"/>
      <w:lvlText w:val="%1."/>
      <w:lvlJc w:val="left"/>
      <w:pPr>
        <w:ind w:left="722" w:hanging="360"/>
      </w:pPr>
    </w:lvl>
    <w:lvl w:ilvl="1" w:tplc="04070019">
      <w:start w:val="1"/>
      <w:numFmt w:val="lowerLetter"/>
      <w:lvlText w:val="%2."/>
      <w:lvlJc w:val="left"/>
      <w:pPr>
        <w:ind w:left="1442" w:hanging="360"/>
      </w:pPr>
    </w:lvl>
    <w:lvl w:ilvl="2" w:tplc="0407001B" w:tentative="1">
      <w:start w:val="1"/>
      <w:numFmt w:val="lowerRoman"/>
      <w:lvlText w:val="%3."/>
      <w:lvlJc w:val="right"/>
      <w:pPr>
        <w:ind w:left="2162" w:hanging="180"/>
      </w:pPr>
    </w:lvl>
    <w:lvl w:ilvl="3" w:tplc="0407000F" w:tentative="1">
      <w:start w:val="1"/>
      <w:numFmt w:val="decimal"/>
      <w:lvlText w:val="%4."/>
      <w:lvlJc w:val="left"/>
      <w:pPr>
        <w:ind w:left="2882" w:hanging="360"/>
      </w:pPr>
    </w:lvl>
    <w:lvl w:ilvl="4" w:tplc="04070019" w:tentative="1">
      <w:start w:val="1"/>
      <w:numFmt w:val="lowerLetter"/>
      <w:lvlText w:val="%5."/>
      <w:lvlJc w:val="left"/>
      <w:pPr>
        <w:ind w:left="3602" w:hanging="360"/>
      </w:pPr>
    </w:lvl>
    <w:lvl w:ilvl="5" w:tplc="0407001B" w:tentative="1">
      <w:start w:val="1"/>
      <w:numFmt w:val="lowerRoman"/>
      <w:lvlText w:val="%6."/>
      <w:lvlJc w:val="right"/>
      <w:pPr>
        <w:ind w:left="4322" w:hanging="180"/>
      </w:pPr>
    </w:lvl>
    <w:lvl w:ilvl="6" w:tplc="0407000F" w:tentative="1">
      <w:start w:val="1"/>
      <w:numFmt w:val="decimal"/>
      <w:lvlText w:val="%7."/>
      <w:lvlJc w:val="left"/>
      <w:pPr>
        <w:ind w:left="5042" w:hanging="360"/>
      </w:pPr>
    </w:lvl>
    <w:lvl w:ilvl="7" w:tplc="04070019" w:tentative="1">
      <w:start w:val="1"/>
      <w:numFmt w:val="lowerLetter"/>
      <w:lvlText w:val="%8."/>
      <w:lvlJc w:val="left"/>
      <w:pPr>
        <w:ind w:left="5762" w:hanging="360"/>
      </w:pPr>
    </w:lvl>
    <w:lvl w:ilvl="8" w:tplc="0407001B" w:tentative="1">
      <w:start w:val="1"/>
      <w:numFmt w:val="lowerRoman"/>
      <w:lvlText w:val="%9."/>
      <w:lvlJc w:val="right"/>
      <w:pPr>
        <w:ind w:left="6482" w:hanging="180"/>
      </w:pPr>
    </w:lvl>
  </w:abstractNum>
  <w:abstractNum w:abstractNumId="2">
    <w:nsid w:val="158F34E4"/>
    <w:multiLevelType w:val="multilevel"/>
    <w:tmpl w:val="469E77E2"/>
    <w:lvl w:ilvl="0">
      <w:start w:val="1"/>
      <w:numFmt w:val="decimal"/>
      <w:pStyle w:val="Ploha1"/>
      <w:lvlText w:val="Příloha %1:"/>
      <w:lvlJc w:val="left"/>
      <w:pPr>
        <w:tabs>
          <w:tab w:val="num" w:pos="1080"/>
        </w:tabs>
        <w:ind w:left="567" w:hanging="567"/>
      </w:pPr>
      <w:rPr>
        <w:rFonts w:ascii="Arial" w:hAnsi="Arial" w:hint="default"/>
        <w:b/>
        <w:i w:val="0"/>
        <w:sz w:val="22"/>
      </w:rPr>
    </w:lvl>
    <w:lvl w:ilvl="1">
      <w:start w:val="1"/>
      <w:numFmt w:val="decimal"/>
      <w:isLgl/>
      <w:lvlText w:val="%1TOP .1"/>
      <w:lvlJc w:val="left"/>
      <w:pPr>
        <w:tabs>
          <w:tab w:val="num" w:pos="1080"/>
        </w:tabs>
        <w:ind w:left="567" w:hanging="567"/>
      </w:pPr>
      <w:rPr>
        <w:rFonts w:ascii="Arial" w:hAnsi="Arial"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26704F5B"/>
    <w:multiLevelType w:val="hybridMultilevel"/>
    <w:tmpl w:val="961AE974"/>
    <w:lvl w:ilvl="0" w:tplc="BC00D40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FB90668"/>
    <w:multiLevelType w:val="hybridMultilevel"/>
    <w:tmpl w:val="EE1EB2E6"/>
    <w:lvl w:ilvl="0" w:tplc="DB028B8A">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tentative="1">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5">
    <w:nsid w:val="4317130B"/>
    <w:multiLevelType w:val="hybridMultilevel"/>
    <w:tmpl w:val="A6DCE5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A15590D"/>
    <w:multiLevelType w:val="multilevel"/>
    <w:tmpl w:val="0405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BDD220D"/>
    <w:multiLevelType w:val="hybridMultilevel"/>
    <w:tmpl w:val="F142032C"/>
    <w:lvl w:ilvl="0" w:tplc="4DB2FA6C">
      <w:start w:val="1"/>
      <w:numFmt w:val="bullet"/>
      <w:lvlText w:val=""/>
      <w:lvlJc w:val="left"/>
      <w:pPr>
        <w:tabs>
          <w:tab w:val="num" w:pos="644"/>
        </w:tabs>
        <w:ind w:left="567" w:hanging="283"/>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D6C7D32"/>
    <w:multiLevelType w:val="multilevel"/>
    <w:tmpl w:val="8278A5EA"/>
    <w:lvl w:ilvl="0">
      <w:start w:val="1"/>
      <w:numFmt w:val="decimal"/>
      <w:lvlText w:val="%1."/>
      <w:lvlJc w:val="left"/>
      <w:pPr>
        <w:tabs>
          <w:tab w:val="num" w:pos="567"/>
        </w:tabs>
        <w:ind w:left="567" w:hanging="567"/>
      </w:pPr>
      <w:rPr>
        <w:rFonts w:ascii="Arial Fett" w:hAnsi="Arial Fett" w:hint="default"/>
        <w:b/>
        <w:i w:val="0"/>
        <w:sz w:val="22"/>
      </w:rPr>
    </w:lvl>
    <w:lvl w:ilvl="1">
      <w:start w:val="1"/>
      <w:numFmt w:val="decimal"/>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4E3F144F"/>
    <w:multiLevelType w:val="hybridMultilevel"/>
    <w:tmpl w:val="A3487296"/>
    <w:lvl w:ilvl="0" w:tplc="614C0B90">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8D0C8D00">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nsid w:val="5C795E71"/>
    <w:multiLevelType w:val="hybridMultilevel"/>
    <w:tmpl w:val="A2AE6E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5DC0537B"/>
    <w:multiLevelType w:val="hybridMultilevel"/>
    <w:tmpl w:val="A4D4F6DE"/>
    <w:lvl w:ilvl="0" w:tplc="71FE8AC2">
      <w:start w:val="1"/>
      <w:numFmt w:val="lowerLetter"/>
      <w:lvlText w:val="%1."/>
      <w:lvlJc w:val="left"/>
      <w:pPr>
        <w:tabs>
          <w:tab w:val="num" w:pos="644"/>
        </w:tabs>
        <w:ind w:left="567" w:hanging="283"/>
      </w:pPr>
      <w:rPr>
        <w:rFonts w:ascii="Arial" w:hAnsi="Arial" w:hint="default"/>
        <w:b w:val="0"/>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661508EE"/>
    <w:multiLevelType w:val="hybridMultilevel"/>
    <w:tmpl w:val="A960458E"/>
    <w:lvl w:ilvl="0" w:tplc="D20826DE">
      <w:start w:val="1"/>
      <w:numFmt w:val="bullet"/>
      <w:lvlText w:val=""/>
      <w:lvlJc w:val="left"/>
      <w:pPr>
        <w:tabs>
          <w:tab w:val="num" w:pos="360"/>
        </w:tabs>
        <w:ind w:left="360" w:hanging="360"/>
      </w:pPr>
      <w:rPr>
        <w:rFonts w:ascii="Wingdings 2" w:hAnsi="Wingdings 2" w:hint="default"/>
        <w:color w:val="333399"/>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6B155CC5"/>
    <w:multiLevelType w:val="hybridMultilevel"/>
    <w:tmpl w:val="55D664F8"/>
    <w:lvl w:ilvl="0" w:tplc="614C0B90">
      <w:start w:val="1"/>
      <w:numFmt w:val="decimal"/>
      <w:lvlText w:val="%1."/>
      <w:lvlJc w:val="left"/>
      <w:pPr>
        <w:tabs>
          <w:tab w:val="num" w:pos="567"/>
        </w:tabs>
        <w:ind w:left="567" w:hanging="567"/>
      </w:pPr>
      <w:rPr>
        <w:rFonts w:hint="default"/>
      </w:rPr>
    </w:lvl>
    <w:lvl w:ilvl="1" w:tplc="962C7ABC">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6DC15332"/>
    <w:multiLevelType w:val="hybridMultilevel"/>
    <w:tmpl w:val="AEE04C68"/>
    <w:lvl w:ilvl="0" w:tplc="614C0B90">
      <w:start w:val="1"/>
      <w:numFmt w:val="decimal"/>
      <w:lvlText w:val="%1."/>
      <w:lvlJc w:val="left"/>
      <w:pPr>
        <w:tabs>
          <w:tab w:val="num" w:pos="567"/>
        </w:tabs>
        <w:ind w:left="567" w:hanging="567"/>
      </w:pPr>
      <w:rPr>
        <w:rFonts w:hint="default"/>
      </w:rPr>
    </w:lvl>
    <w:lvl w:ilvl="1" w:tplc="84A66926">
      <w:start w:val="1"/>
      <w:numFmt w:val="bullet"/>
      <w:pStyle w:val="Anstrich"/>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80A6BE7"/>
    <w:multiLevelType w:val="multilevel"/>
    <w:tmpl w:val="EABA6664"/>
    <w:lvl w:ilvl="0">
      <w:start w:val="4"/>
      <w:numFmt w:val="decimal"/>
      <w:pStyle w:val="berschrift1"/>
      <w:lvlText w:val="%1"/>
      <w:lvlJc w:val="left"/>
      <w:pPr>
        <w:tabs>
          <w:tab w:val="num" w:pos="851"/>
        </w:tabs>
        <w:ind w:left="851" w:hanging="851"/>
      </w:pPr>
      <w:rPr>
        <w:rFonts w:ascii="Arial Fett" w:hAnsi="Arial Fett" w:hint="default"/>
        <w:b/>
        <w:i w:val="0"/>
        <w:sz w:val="24"/>
      </w:rPr>
    </w:lvl>
    <w:lvl w:ilvl="1">
      <w:start w:val="1"/>
      <w:numFmt w:val="decimal"/>
      <w:pStyle w:val="berschrift2"/>
      <w:isLgl/>
      <w:lvlText w:val="%1.%2"/>
      <w:lvlJc w:val="left"/>
      <w:pPr>
        <w:tabs>
          <w:tab w:val="num" w:pos="851"/>
        </w:tabs>
        <w:ind w:left="851" w:hanging="851"/>
      </w:pPr>
      <w:rPr>
        <w:rFonts w:ascii="Arial Fett" w:hAnsi="Arial Fett" w:hint="default"/>
        <w:b/>
        <w:i w:val="0"/>
        <w:sz w:val="22"/>
      </w:rPr>
    </w:lvl>
    <w:lvl w:ilvl="2">
      <w:start w:val="1"/>
      <w:numFmt w:val="decimal"/>
      <w:pStyle w:val="berschrift3"/>
      <w:lvlText w:val="%1.%2.%3"/>
      <w:lvlJc w:val="left"/>
      <w:pPr>
        <w:tabs>
          <w:tab w:val="num" w:pos="720"/>
        </w:tabs>
        <w:ind w:left="360" w:hanging="360"/>
      </w:pPr>
      <w:rPr>
        <w:rFonts w:hint="default"/>
      </w:rPr>
    </w:lvl>
    <w:lvl w:ilvl="3">
      <w:start w:val="1"/>
      <w:numFmt w:val="decimal"/>
      <w:pStyle w:val="berschrift4"/>
      <w:lvlText w:val="%1.%2.%3.%4"/>
      <w:lvlJc w:val="left"/>
      <w:pPr>
        <w:tabs>
          <w:tab w:val="num" w:pos="851"/>
        </w:tabs>
        <w:ind w:left="851" w:hanging="851"/>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78CA29C8"/>
    <w:multiLevelType w:val="hybridMultilevel"/>
    <w:tmpl w:val="365CEF16"/>
    <w:lvl w:ilvl="0" w:tplc="1160E342">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9"/>
  </w:num>
  <w:num w:numId="2">
    <w:abstractNumId w:val="14"/>
  </w:num>
  <w:num w:numId="3">
    <w:abstractNumId w:val="17"/>
  </w:num>
  <w:num w:numId="4">
    <w:abstractNumId w:val="10"/>
  </w:num>
  <w:num w:numId="5">
    <w:abstractNumId w:val="0"/>
  </w:num>
  <w:num w:numId="6">
    <w:abstractNumId w:val="15"/>
  </w:num>
  <w:num w:numId="7">
    <w:abstractNumId w:val="11"/>
  </w:num>
  <w:num w:numId="8">
    <w:abstractNumId w:val="8"/>
  </w:num>
  <w:num w:numId="9">
    <w:abstractNumId w:val="4"/>
  </w:num>
  <w:num w:numId="10">
    <w:abstractNumId w:val="12"/>
  </w:num>
  <w:num w:numId="11">
    <w:abstractNumId w:val="2"/>
  </w:num>
  <w:num w:numId="12">
    <w:abstractNumId w:val="8"/>
  </w:num>
  <w:num w:numId="13">
    <w:abstractNumId w:val="8"/>
  </w:num>
  <w:num w:numId="14">
    <w:abstractNumId w:val="8"/>
  </w:num>
  <w:num w:numId="15">
    <w:abstractNumId w:val="8"/>
  </w:num>
  <w:num w:numId="16">
    <w:abstractNumId w:val="13"/>
  </w:num>
  <w:num w:numId="17">
    <w:abstractNumId w:val="16"/>
  </w:num>
  <w:num w:numId="18">
    <w:abstractNumId w:val="7"/>
  </w:num>
  <w:num w:numId="19">
    <w:abstractNumId w:val="1"/>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6"/>
  </w:num>
  <w:num w:numId="23">
    <w:abstractNumId w:val="16"/>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oNotTrackFormatting/>
  <w:defaultTabStop w:val="851"/>
  <w:autoHyphenation/>
  <w:hyphenationZone w:val="142"/>
  <w:doNotHyphenateCaps/>
  <w:noPunctuationKerning/>
  <w:characterSpacingControl w:val="doNotCompress"/>
  <w:hdrShapeDefaults>
    <o:shapedefaults v:ext="edit" spidmax="51201"/>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0BF"/>
    <w:rsid w:val="00007BFB"/>
    <w:rsid w:val="000123AF"/>
    <w:rsid w:val="00020319"/>
    <w:rsid w:val="00041EC5"/>
    <w:rsid w:val="0004751A"/>
    <w:rsid w:val="00052209"/>
    <w:rsid w:val="000633BE"/>
    <w:rsid w:val="00070C6E"/>
    <w:rsid w:val="00081D73"/>
    <w:rsid w:val="000852C3"/>
    <w:rsid w:val="000937E9"/>
    <w:rsid w:val="000E0367"/>
    <w:rsid w:val="000F2C0F"/>
    <w:rsid w:val="000F7753"/>
    <w:rsid w:val="0010233D"/>
    <w:rsid w:val="00113186"/>
    <w:rsid w:val="00140797"/>
    <w:rsid w:val="0015062D"/>
    <w:rsid w:val="00150CF0"/>
    <w:rsid w:val="001539AC"/>
    <w:rsid w:val="001632D8"/>
    <w:rsid w:val="001704FE"/>
    <w:rsid w:val="00171455"/>
    <w:rsid w:val="0018719F"/>
    <w:rsid w:val="0019144F"/>
    <w:rsid w:val="001B123E"/>
    <w:rsid w:val="001B1F58"/>
    <w:rsid w:val="001B411A"/>
    <w:rsid w:val="001B6479"/>
    <w:rsid w:val="001C66EF"/>
    <w:rsid w:val="001E682E"/>
    <w:rsid w:val="001F04C3"/>
    <w:rsid w:val="001F1988"/>
    <w:rsid w:val="0023704A"/>
    <w:rsid w:val="00245490"/>
    <w:rsid w:val="00245757"/>
    <w:rsid w:val="0025152A"/>
    <w:rsid w:val="002565DD"/>
    <w:rsid w:val="00283274"/>
    <w:rsid w:val="002973BB"/>
    <w:rsid w:val="002A0082"/>
    <w:rsid w:val="002A4A4F"/>
    <w:rsid w:val="002B5130"/>
    <w:rsid w:val="002B62C1"/>
    <w:rsid w:val="002C4931"/>
    <w:rsid w:val="002F5685"/>
    <w:rsid w:val="003010B1"/>
    <w:rsid w:val="00301887"/>
    <w:rsid w:val="00302362"/>
    <w:rsid w:val="0031125C"/>
    <w:rsid w:val="003403A5"/>
    <w:rsid w:val="00353AD3"/>
    <w:rsid w:val="003670C1"/>
    <w:rsid w:val="00370625"/>
    <w:rsid w:val="00387C7F"/>
    <w:rsid w:val="003A70ED"/>
    <w:rsid w:val="003B5606"/>
    <w:rsid w:val="003B5AE2"/>
    <w:rsid w:val="003D04A0"/>
    <w:rsid w:val="003F3E72"/>
    <w:rsid w:val="00404EC2"/>
    <w:rsid w:val="00417E77"/>
    <w:rsid w:val="00435F33"/>
    <w:rsid w:val="004642E0"/>
    <w:rsid w:val="00470E2B"/>
    <w:rsid w:val="004746B1"/>
    <w:rsid w:val="00483796"/>
    <w:rsid w:val="0049461B"/>
    <w:rsid w:val="00495336"/>
    <w:rsid w:val="004B1332"/>
    <w:rsid w:val="004C3BA8"/>
    <w:rsid w:val="004D0BFB"/>
    <w:rsid w:val="004D0DF4"/>
    <w:rsid w:val="004E25EA"/>
    <w:rsid w:val="004E77CA"/>
    <w:rsid w:val="00515840"/>
    <w:rsid w:val="0052451E"/>
    <w:rsid w:val="005350ED"/>
    <w:rsid w:val="00545528"/>
    <w:rsid w:val="00557FCD"/>
    <w:rsid w:val="0056178E"/>
    <w:rsid w:val="00570974"/>
    <w:rsid w:val="00577DB3"/>
    <w:rsid w:val="00582B06"/>
    <w:rsid w:val="00584049"/>
    <w:rsid w:val="005B6827"/>
    <w:rsid w:val="005B7933"/>
    <w:rsid w:val="005E2960"/>
    <w:rsid w:val="005F0790"/>
    <w:rsid w:val="005F3FC3"/>
    <w:rsid w:val="00603F8F"/>
    <w:rsid w:val="006313C2"/>
    <w:rsid w:val="00632119"/>
    <w:rsid w:val="00645C4A"/>
    <w:rsid w:val="00650B69"/>
    <w:rsid w:val="006829F8"/>
    <w:rsid w:val="00694DF2"/>
    <w:rsid w:val="006960D6"/>
    <w:rsid w:val="006A334A"/>
    <w:rsid w:val="006A3598"/>
    <w:rsid w:val="006A4938"/>
    <w:rsid w:val="006B07F7"/>
    <w:rsid w:val="006B1A1B"/>
    <w:rsid w:val="006C0FEE"/>
    <w:rsid w:val="006C5A4C"/>
    <w:rsid w:val="006D3BB1"/>
    <w:rsid w:val="007034E6"/>
    <w:rsid w:val="007456CA"/>
    <w:rsid w:val="00754458"/>
    <w:rsid w:val="00757B47"/>
    <w:rsid w:val="00766BB3"/>
    <w:rsid w:val="00770E83"/>
    <w:rsid w:val="00787894"/>
    <w:rsid w:val="007916D6"/>
    <w:rsid w:val="007A74D9"/>
    <w:rsid w:val="007B4F34"/>
    <w:rsid w:val="007E7D3D"/>
    <w:rsid w:val="007F66A9"/>
    <w:rsid w:val="008010F8"/>
    <w:rsid w:val="00824222"/>
    <w:rsid w:val="00826C81"/>
    <w:rsid w:val="008314DA"/>
    <w:rsid w:val="00834F89"/>
    <w:rsid w:val="00840085"/>
    <w:rsid w:val="00840953"/>
    <w:rsid w:val="00846DDA"/>
    <w:rsid w:val="00854619"/>
    <w:rsid w:val="00857163"/>
    <w:rsid w:val="00883982"/>
    <w:rsid w:val="00883FD9"/>
    <w:rsid w:val="0088574D"/>
    <w:rsid w:val="00886239"/>
    <w:rsid w:val="00886CD8"/>
    <w:rsid w:val="008945BA"/>
    <w:rsid w:val="008950A8"/>
    <w:rsid w:val="00895326"/>
    <w:rsid w:val="008A3020"/>
    <w:rsid w:val="008A6478"/>
    <w:rsid w:val="008B7DB8"/>
    <w:rsid w:val="008C32BA"/>
    <w:rsid w:val="008C52DE"/>
    <w:rsid w:val="008D0A54"/>
    <w:rsid w:val="008D1132"/>
    <w:rsid w:val="008F6586"/>
    <w:rsid w:val="008F799D"/>
    <w:rsid w:val="009059A5"/>
    <w:rsid w:val="00905B4A"/>
    <w:rsid w:val="009223D2"/>
    <w:rsid w:val="00941292"/>
    <w:rsid w:val="0094211C"/>
    <w:rsid w:val="009500E9"/>
    <w:rsid w:val="00950898"/>
    <w:rsid w:val="00952B20"/>
    <w:rsid w:val="0095589A"/>
    <w:rsid w:val="00963607"/>
    <w:rsid w:val="00973EEB"/>
    <w:rsid w:val="009741D9"/>
    <w:rsid w:val="009971EB"/>
    <w:rsid w:val="009B261B"/>
    <w:rsid w:val="009B2FE5"/>
    <w:rsid w:val="009B6F80"/>
    <w:rsid w:val="009C157B"/>
    <w:rsid w:val="009C16C8"/>
    <w:rsid w:val="009C4AFD"/>
    <w:rsid w:val="009D3A96"/>
    <w:rsid w:val="009E19BB"/>
    <w:rsid w:val="009F44F8"/>
    <w:rsid w:val="009F7302"/>
    <w:rsid w:val="00A02C91"/>
    <w:rsid w:val="00A04C9F"/>
    <w:rsid w:val="00A37D67"/>
    <w:rsid w:val="00A418CF"/>
    <w:rsid w:val="00A606EC"/>
    <w:rsid w:val="00A803B7"/>
    <w:rsid w:val="00AA6FD1"/>
    <w:rsid w:val="00AC4DA9"/>
    <w:rsid w:val="00AC6FA1"/>
    <w:rsid w:val="00AD0297"/>
    <w:rsid w:val="00AD09C8"/>
    <w:rsid w:val="00AE3503"/>
    <w:rsid w:val="00AE5C69"/>
    <w:rsid w:val="00AF0CB0"/>
    <w:rsid w:val="00AF160C"/>
    <w:rsid w:val="00AF47F3"/>
    <w:rsid w:val="00B0628D"/>
    <w:rsid w:val="00B42532"/>
    <w:rsid w:val="00B46FEE"/>
    <w:rsid w:val="00B475C9"/>
    <w:rsid w:val="00B51804"/>
    <w:rsid w:val="00B5784B"/>
    <w:rsid w:val="00B61A76"/>
    <w:rsid w:val="00B72864"/>
    <w:rsid w:val="00B924E2"/>
    <w:rsid w:val="00B95905"/>
    <w:rsid w:val="00BB1086"/>
    <w:rsid w:val="00BB47E4"/>
    <w:rsid w:val="00BB4C9C"/>
    <w:rsid w:val="00BB6520"/>
    <w:rsid w:val="00BE3DE3"/>
    <w:rsid w:val="00C03479"/>
    <w:rsid w:val="00C142E4"/>
    <w:rsid w:val="00C306CB"/>
    <w:rsid w:val="00C5145C"/>
    <w:rsid w:val="00C54158"/>
    <w:rsid w:val="00C623B7"/>
    <w:rsid w:val="00C77BF9"/>
    <w:rsid w:val="00C814F1"/>
    <w:rsid w:val="00C87592"/>
    <w:rsid w:val="00C92FEB"/>
    <w:rsid w:val="00CA1BD1"/>
    <w:rsid w:val="00CA469A"/>
    <w:rsid w:val="00CA4E05"/>
    <w:rsid w:val="00CB2BD9"/>
    <w:rsid w:val="00CC0263"/>
    <w:rsid w:val="00CD11D1"/>
    <w:rsid w:val="00CD18F4"/>
    <w:rsid w:val="00CD3299"/>
    <w:rsid w:val="00CD3D50"/>
    <w:rsid w:val="00CD4C21"/>
    <w:rsid w:val="00CE5713"/>
    <w:rsid w:val="00D256EF"/>
    <w:rsid w:val="00D25F39"/>
    <w:rsid w:val="00D26279"/>
    <w:rsid w:val="00D370BF"/>
    <w:rsid w:val="00D71D48"/>
    <w:rsid w:val="00D76B59"/>
    <w:rsid w:val="00D828BF"/>
    <w:rsid w:val="00DB0214"/>
    <w:rsid w:val="00DB4DA4"/>
    <w:rsid w:val="00DB5DD3"/>
    <w:rsid w:val="00DC4030"/>
    <w:rsid w:val="00DD01CF"/>
    <w:rsid w:val="00DD757A"/>
    <w:rsid w:val="00DE19A1"/>
    <w:rsid w:val="00DE20C0"/>
    <w:rsid w:val="00DF1B4A"/>
    <w:rsid w:val="00E03273"/>
    <w:rsid w:val="00E1573D"/>
    <w:rsid w:val="00E17195"/>
    <w:rsid w:val="00E46CC5"/>
    <w:rsid w:val="00E51AAB"/>
    <w:rsid w:val="00E56594"/>
    <w:rsid w:val="00E63708"/>
    <w:rsid w:val="00E67B77"/>
    <w:rsid w:val="00E75DCA"/>
    <w:rsid w:val="00EA066F"/>
    <w:rsid w:val="00EA0F15"/>
    <w:rsid w:val="00EA32FA"/>
    <w:rsid w:val="00EB1F6D"/>
    <w:rsid w:val="00EB37FB"/>
    <w:rsid w:val="00EB3C86"/>
    <w:rsid w:val="00EF43C0"/>
    <w:rsid w:val="00F01B5C"/>
    <w:rsid w:val="00F0548B"/>
    <w:rsid w:val="00F13D3B"/>
    <w:rsid w:val="00F257D6"/>
    <w:rsid w:val="00F314BD"/>
    <w:rsid w:val="00F3526D"/>
    <w:rsid w:val="00F35DBF"/>
    <w:rsid w:val="00F55678"/>
    <w:rsid w:val="00F7261B"/>
    <w:rsid w:val="00FA66D2"/>
    <w:rsid w:val="00FB266A"/>
    <w:rsid w:val="00FB477D"/>
    <w:rsid w:val="00FD5753"/>
    <w:rsid w:val="00FE645F"/>
    <w:rsid w:val="00FF66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3AF"/>
    <w:pPr>
      <w:jc w:val="both"/>
    </w:pPr>
    <w:rPr>
      <w:rFonts w:ascii="Arial" w:hAnsi="Arial"/>
      <w:sz w:val="22"/>
      <w:szCs w:val="24"/>
      <w:lang w:val="cs-CZ"/>
    </w:rPr>
  </w:style>
  <w:style w:type="paragraph" w:styleId="berschrift1">
    <w:name w:val="heading 1"/>
    <w:basedOn w:val="Standard"/>
    <w:next w:val="Standard"/>
    <w:autoRedefine/>
    <w:qFormat/>
    <w:rsid w:val="008010F8"/>
    <w:pPr>
      <w:keepNext/>
      <w:numPr>
        <w:numId w:val="17"/>
      </w:numPr>
      <w:spacing w:before="480" w:after="100"/>
      <w:outlineLvl w:val="0"/>
    </w:pPr>
    <w:rPr>
      <w:rFonts w:ascii="Arial Fett" w:hAnsi="Arial Fett" w:cs="Arial"/>
      <w:kern w:val="32"/>
      <w:sz w:val="24"/>
      <w:szCs w:val="32"/>
      <w:lang w:val="de-DE"/>
    </w:rPr>
  </w:style>
  <w:style w:type="paragraph" w:styleId="berschrift2">
    <w:name w:val="heading 2"/>
    <w:basedOn w:val="berschrift1"/>
    <w:next w:val="Standard"/>
    <w:autoRedefine/>
    <w:qFormat/>
    <w:rsid w:val="00370625"/>
    <w:pPr>
      <w:numPr>
        <w:ilvl w:val="1"/>
      </w:numPr>
      <w:tabs>
        <w:tab w:val="clear" w:pos="851"/>
        <w:tab w:val="num" w:pos="567"/>
      </w:tabs>
      <w:spacing w:before="200"/>
      <w:ind w:left="567" w:hanging="567"/>
      <w:outlineLvl w:val="1"/>
    </w:pPr>
    <w:rPr>
      <w:bCs/>
      <w:iCs/>
      <w:sz w:val="22"/>
      <w:szCs w:val="22"/>
    </w:rPr>
  </w:style>
  <w:style w:type="paragraph" w:styleId="berschrift3">
    <w:name w:val="heading 3"/>
    <w:basedOn w:val="berschrift2"/>
    <w:next w:val="Standard"/>
    <w:autoRedefine/>
    <w:qFormat/>
    <w:rsid w:val="00DB4DA4"/>
    <w:pPr>
      <w:numPr>
        <w:ilvl w:val="2"/>
      </w:numPr>
      <w:tabs>
        <w:tab w:val="clear" w:pos="720"/>
      </w:tabs>
      <w:ind w:left="1418" w:hanging="709"/>
      <w:outlineLvl w:val="2"/>
    </w:pPr>
    <w:rPr>
      <w:rFonts w:ascii="Arial" w:hAnsi="Arial"/>
      <w:bCs w:val="0"/>
      <w:szCs w:val="26"/>
    </w:rPr>
  </w:style>
  <w:style w:type="paragraph" w:styleId="berschrift4">
    <w:name w:val="heading 4"/>
    <w:basedOn w:val="Standard"/>
    <w:next w:val="Standard"/>
    <w:qFormat/>
    <w:rsid w:val="000123AF"/>
    <w:pPr>
      <w:keepNext/>
      <w:numPr>
        <w:ilvl w:val="3"/>
        <w:numId w:val="17"/>
      </w:numPr>
      <w:spacing w:before="240" w:after="60"/>
      <w:outlineLvl w:val="3"/>
    </w:pPr>
    <w:rPr>
      <w:rFonts w:ascii="Times New Roman" w:hAnsi="Times New Roman"/>
      <w:b/>
      <w:bCs/>
      <w:sz w:val="28"/>
      <w:szCs w:val="28"/>
    </w:rPr>
  </w:style>
  <w:style w:type="paragraph" w:styleId="berschrift5">
    <w:name w:val="heading 5"/>
    <w:basedOn w:val="Standard"/>
    <w:next w:val="Standard"/>
    <w:qFormat/>
    <w:rsid w:val="000123AF"/>
    <w:pPr>
      <w:spacing w:before="240" w:after="60"/>
      <w:outlineLvl w:val="4"/>
    </w:pPr>
    <w:rPr>
      <w:b/>
      <w:bCs/>
      <w:i/>
      <w:iCs/>
      <w:sz w:val="26"/>
      <w:szCs w:val="26"/>
    </w:rPr>
  </w:style>
  <w:style w:type="paragraph" w:styleId="berschrift6">
    <w:name w:val="heading 6"/>
    <w:basedOn w:val="Standard"/>
    <w:next w:val="Standard"/>
    <w:qFormat/>
    <w:rsid w:val="000123AF"/>
    <w:pPr>
      <w:spacing w:before="240" w:after="60"/>
      <w:outlineLvl w:val="5"/>
    </w:pPr>
    <w:rPr>
      <w:rFonts w:ascii="Times New Roman" w:hAnsi="Times New Roman"/>
      <w:b/>
      <w:bCs/>
      <w:szCs w:val="22"/>
    </w:rPr>
  </w:style>
  <w:style w:type="paragraph" w:styleId="berschrift7">
    <w:name w:val="heading 7"/>
    <w:basedOn w:val="Standard"/>
    <w:next w:val="Standard"/>
    <w:qFormat/>
    <w:rsid w:val="000123AF"/>
    <w:pPr>
      <w:spacing w:before="240" w:after="60"/>
      <w:outlineLvl w:val="6"/>
    </w:pPr>
    <w:rPr>
      <w:rFonts w:ascii="Times New Roman" w:hAnsi="Times New Roman"/>
      <w:sz w:val="24"/>
    </w:rPr>
  </w:style>
  <w:style w:type="paragraph" w:styleId="berschrift8">
    <w:name w:val="heading 8"/>
    <w:basedOn w:val="Standard"/>
    <w:next w:val="Standard"/>
    <w:qFormat/>
    <w:rsid w:val="000123AF"/>
    <w:pPr>
      <w:spacing w:before="240" w:after="60"/>
      <w:outlineLvl w:val="7"/>
    </w:pPr>
    <w:rPr>
      <w:rFonts w:ascii="Times New Roman" w:hAnsi="Times New Roman"/>
      <w:i/>
      <w:iCs/>
      <w:sz w:val="24"/>
    </w:rPr>
  </w:style>
  <w:style w:type="paragraph" w:styleId="berschrift9">
    <w:name w:val="heading 9"/>
    <w:basedOn w:val="Standard"/>
    <w:next w:val="Standard"/>
    <w:qFormat/>
    <w:rsid w:val="000123A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123AF"/>
    <w:pPr>
      <w:tabs>
        <w:tab w:val="center" w:pos="4536"/>
        <w:tab w:val="right" w:pos="9072"/>
      </w:tabs>
    </w:pPr>
    <w:rPr>
      <w:sz w:val="20"/>
    </w:rPr>
  </w:style>
  <w:style w:type="paragraph" w:styleId="Fuzeile">
    <w:name w:val="footer"/>
    <w:basedOn w:val="Standard"/>
    <w:semiHidden/>
    <w:rsid w:val="000123AF"/>
    <w:pPr>
      <w:tabs>
        <w:tab w:val="center" w:pos="4536"/>
        <w:tab w:val="right" w:pos="9072"/>
      </w:tabs>
    </w:pPr>
  </w:style>
  <w:style w:type="paragraph" w:customStyle="1" w:styleId="plohy">
    <w:name w:val="přílohy"/>
    <w:basedOn w:val="Standard"/>
    <w:rsid w:val="000123AF"/>
    <w:pPr>
      <w:tabs>
        <w:tab w:val="left" w:pos="1134"/>
      </w:tabs>
      <w:spacing w:before="200"/>
      <w:ind w:left="1134" w:hanging="1134"/>
    </w:pPr>
    <w:rPr>
      <w:rFonts w:ascii="Arial Fett" w:hAnsi="Arial Fett"/>
      <w:b/>
      <w:bCs/>
      <w:u w:val="words"/>
    </w:rPr>
  </w:style>
  <w:style w:type="paragraph" w:customStyle="1" w:styleId="Ploha1">
    <w:name w:val="Příloha 1"/>
    <w:basedOn w:val="Anstrich"/>
    <w:rsid w:val="000123AF"/>
    <w:pPr>
      <w:numPr>
        <w:ilvl w:val="0"/>
        <w:numId w:val="11"/>
      </w:numPr>
      <w:tabs>
        <w:tab w:val="clear" w:pos="1080"/>
        <w:tab w:val="left" w:pos="1134"/>
      </w:tabs>
      <w:ind w:left="1134" w:hanging="1134"/>
    </w:pPr>
  </w:style>
  <w:style w:type="paragraph" w:customStyle="1" w:styleId="Anstrich">
    <w:name w:val="Anstrich"/>
    <w:basedOn w:val="Standard"/>
    <w:rsid w:val="000123AF"/>
    <w:pPr>
      <w:numPr>
        <w:ilvl w:val="1"/>
        <w:numId w:val="6"/>
      </w:numPr>
      <w:tabs>
        <w:tab w:val="clear" w:pos="1477"/>
      </w:tabs>
      <w:spacing w:before="120"/>
      <w:ind w:left="284" w:hanging="284"/>
    </w:pPr>
    <w:rPr>
      <w:rFonts w:cs="Arial"/>
    </w:rPr>
  </w:style>
  <w:style w:type="paragraph" w:customStyle="1" w:styleId="Kstchen">
    <w:name w:val="Kästchen"/>
    <w:basedOn w:val="Standard"/>
    <w:rsid w:val="000123AF"/>
    <w:pPr>
      <w:numPr>
        <w:numId w:val="9"/>
      </w:numPr>
      <w:tabs>
        <w:tab w:val="clear" w:pos="851"/>
      </w:tabs>
      <w:spacing w:before="100"/>
      <w:ind w:left="567"/>
    </w:pPr>
    <w:rPr>
      <w:rFonts w:cs="Arial"/>
    </w:rPr>
  </w:style>
  <w:style w:type="paragraph" w:customStyle="1" w:styleId="berschrift">
    <w:name w:val="Überschrift"/>
    <w:basedOn w:val="Standard"/>
    <w:rsid w:val="000123AF"/>
    <w:pPr>
      <w:pBdr>
        <w:bottom w:val="single" w:sz="12" w:space="1" w:color="auto"/>
      </w:pBdr>
      <w:spacing w:before="600"/>
      <w:jc w:val="center"/>
    </w:pPr>
    <w:rPr>
      <w:rFonts w:cs="Arial"/>
      <w:b/>
      <w:bCs/>
    </w:rPr>
  </w:style>
  <w:style w:type="paragraph" w:customStyle="1" w:styleId="Kopfzeile2">
    <w:name w:val="Kopfzeile 2"/>
    <w:basedOn w:val="Kopfzeile"/>
    <w:rsid w:val="000123AF"/>
    <w:pPr>
      <w:pBdr>
        <w:bottom w:val="single" w:sz="4" w:space="1" w:color="auto"/>
      </w:pBdr>
      <w:tabs>
        <w:tab w:val="clear" w:pos="4536"/>
        <w:tab w:val="clear" w:pos="9072"/>
        <w:tab w:val="right" w:pos="9356"/>
      </w:tabs>
    </w:pPr>
  </w:style>
  <w:style w:type="paragraph" w:styleId="Textkrper">
    <w:name w:val="Body Text"/>
    <w:basedOn w:val="Standard"/>
    <w:semiHidden/>
    <w:rsid w:val="000123AF"/>
    <w:rPr>
      <w:color w:val="0000FF"/>
    </w:rPr>
  </w:style>
  <w:style w:type="paragraph" w:styleId="Verzeichnis1">
    <w:name w:val="toc 1"/>
    <w:basedOn w:val="Standard"/>
    <w:next w:val="Standard"/>
    <w:autoRedefine/>
    <w:semiHidden/>
    <w:rsid w:val="000123AF"/>
    <w:pPr>
      <w:tabs>
        <w:tab w:val="right" w:leader="dot" w:pos="8930"/>
        <w:tab w:val="right" w:pos="9356"/>
      </w:tabs>
      <w:spacing w:before="220"/>
      <w:ind w:left="851" w:hanging="851"/>
    </w:pPr>
    <w:rPr>
      <w:rFonts w:ascii="Arial Fett" w:hAnsi="Arial Fett"/>
      <w:b/>
      <w:noProof/>
      <w:sz w:val="24"/>
    </w:rPr>
  </w:style>
  <w:style w:type="paragraph" w:styleId="Verzeichnis2">
    <w:name w:val="toc 2"/>
    <w:basedOn w:val="Verzeichnis1"/>
    <w:next w:val="Standard"/>
    <w:autoRedefine/>
    <w:semiHidden/>
    <w:rsid w:val="000123AF"/>
    <w:pPr>
      <w:tabs>
        <w:tab w:val="left" w:pos="851"/>
      </w:tabs>
      <w:spacing w:before="120"/>
      <w:jc w:val="left"/>
    </w:pPr>
    <w:rPr>
      <w:rFonts w:ascii="Arial" w:hAnsi="Arial"/>
      <w:b w:val="0"/>
      <w:sz w:val="22"/>
    </w:rPr>
  </w:style>
  <w:style w:type="paragraph" w:styleId="Verzeichnis3">
    <w:name w:val="toc 3"/>
    <w:basedOn w:val="Verzeichnis2"/>
    <w:next w:val="Standard"/>
    <w:autoRedefine/>
    <w:semiHidden/>
    <w:rsid w:val="000123AF"/>
    <w:pPr>
      <w:spacing w:before="60"/>
    </w:pPr>
    <w:rPr>
      <w:szCs w:val="22"/>
    </w:rPr>
  </w:style>
  <w:style w:type="paragraph" w:styleId="Verzeichnis4">
    <w:name w:val="toc 4"/>
    <w:basedOn w:val="Standard"/>
    <w:next w:val="Standard"/>
    <w:autoRedefine/>
    <w:semiHidden/>
    <w:rsid w:val="000123AF"/>
    <w:pPr>
      <w:ind w:left="660"/>
    </w:pPr>
  </w:style>
  <w:style w:type="paragraph" w:styleId="Verzeichnis5">
    <w:name w:val="toc 5"/>
    <w:basedOn w:val="Standard"/>
    <w:next w:val="Standard"/>
    <w:autoRedefine/>
    <w:semiHidden/>
    <w:rsid w:val="000123AF"/>
    <w:pPr>
      <w:ind w:left="880"/>
    </w:pPr>
  </w:style>
  <w:style w:type="paragraph" w:styleId="Verzeichnis6">
    <w:name w:val="toc 6"/>
    <w:basedOn w:val="Standard"/>
    <w:next w:val="Standard"/>
    <w:autoRedefine/>
    <w:semiHidden/>
    <w:rsid w:val="000123AF"/>
    <w:pPr>
      <w:ind w:left="1100"/>
    </w:pPr>
  </w:style>
  <w:style w:type="paragraph" w:styleId="Verzeichnis7">
    <w:name w:val="toc 7"/>
    <w:basedOn w:val="Standard"/>
    <w:next w:val="Standard"/>
    <w:autoRedefine/>
    <w:semiHidden/>
    <w:rsid w:val="000123AF"/>
    <w:pPr>
      <w:ind w:left="1320"/>
    </w:pPr>
  </w:style>
  <w:style w:type="paragraph" w:styleId="Verzeichnis8">
    <w:name w:val="toc 8"/>
    <w:basedOn w:val="Standard"/>
    <w:next w:val="Standard"/>
    <w:autoRedefine/>
    <w:semiHidden/>
    <w:rsid w:val="000123AF"/>
    <w:pPr>
      <w:ind w:left="1540"/>
    </w:pPr>
  </w:style>
  <w:style w:type="paragraph" w:styleId="Verzeichnis9">
    <w:name w:val="toc 9"/>
    <w:basedOn w:val="Standard"/>
    <w:next w:val="Standard"/>
    <w:autoRedefine/>
    <w:semiHidden/>
    <w:rsid w:val="000123AF"/>
    <w:pPr>
      <w:ind w:left="1760"/>
    </w:pPr>
  </w:style>
  <w:style w:type="character" w:styleId="Hyperlink">
    <w:name w:val="Hyperlink"/>
    <w:basedOn w:val="Absatz-Standardschriftart"/>
    <w:semiHidden/>
    <w:rsid w:val="000123AF"/>
    <w:rPr>
      <w:color w:val="0000FF"/>
      <w:u w:val="single"/>
    </w:rPr>
  </w:style>
  <w:style w:type="paragraph" w:styleId="Textkrper2">
    <w:name w:val="Body Text 2"/>
    <w:basedOn w:val="Standard"/>
    <w:semiHidden/>
    <w:rsid w:val="000123AF"/>
    <w:pPr>
      <w:jc w:val="center"/>
    </w:pPr>
    <w:rPr>
      <w:sz w:val="28"/>
    </w:rPr>
  </w:style>
  <w:style w:type="character" w:customStyle="1" w:styleId="KopfzeileZchn">
    <w:name w:val="Kopfzeile Zchn"/>
    <w:basedOn w:val="Absatz-Standardschriftart"/>
    <w:link w:val="Kopfzeile"/>
    <w:rsid w:val="00A803B7"/>
    <w:rPr>
      <w:rFonts w:ascii="Arial" w:hAnsi="Arial"/>
      <w:szCs w:val="24"/>
      <w:lang w:val="cs-CZ"/>
    </w:rPr>
  </w:style>
  <w:style w:type="paragraph" w:customStyle="1" w:styleId="Kopfzeile20">
    <w:name w:val="Kopfzeile2"/>
    <w:basedOn w:val="Kopfzeile"/>
    <w:rsid w:val="007A74D9"/>
    <w:pPr>
      <w:pBdr>
        <w:bottom w:val="single" w:sz="6" w:space="1" w:color="auto"/>
      </w:pBdr>
      <w:tabs>
        <w:tab w:val="clear" w:pos="4536"/>
        <w:tab w:val="clear" w:pos="9072"/>
        <w:tab w:val="right" w:pos="9360"/>
      </w:tabs>
    </w:pPr>
    <w:rPr>
      <w:rFonts w:cs="Arial"/>
      <w:sz w:val="14"/>
      <w:lang w:val="de-DE"/>
    </w:rPr>
  </w:style>
  <w:style w:type="paragraph" w:customStyle="1" w:styleId="NummerierungBeschlussvorschlag">
    <w:name w:val="Nummerierung Beschlussvorschlag"/>
    <w:basedOn w:val="berschrift1"/>
    <w:rsid w:val="007A74D9"/>
    <w:pPr>
      <w:numPr>
        <w:numId w:val="19"/>
      </w:numPr>
      <w:spacing w:before="400" w:after="0"/>
    </w:pPr>
    <w:rPr>
      <w:rFonts w:ascii="Arial" w:hAnsi="Arial"/>
      <w:bCs/>
      <w:sz w:val="22"/>
    </w:rPr>
  </w:style>
  <w:style w:type="paragraph" w:styleId="Listenabsatz">
    <w:name w:val="List Paragraph"/>
    <w:basedOn w:val="Standard"/>
    <w:uiPriority w:val="34"/>
    <w:qFormat/>
    <w:rsid w:val="007A74D9"/>
    <w:pPr>
      <w:ind w:left="720"/>
      <w:contextualSpacing/>
    </w:pPr>
  </w:style>
  <w:style w:type="paragraph" w:styleId="Sprechblasentext">
    <w:name w:val="Balloon Text"/>
    <w:basedOn w:val="Standard"/>
    <w:link w:val="SprechblasentextZchn"/>
    <w:uiPriority w:val="99"/>
    <w:semiHidden/>
    <w:unhideWhenUsed/>
    <w:rsid w:val="00CA1BD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1BD1"/>
    <w:rPr>
      <w:rFonts w:ascii="Tahoma" w:hAnsi="Tahoma" w:cs="Tahoma"/>
      <w:sz w:val="16"/>
      <w:szCs w:val="16"/>
      <w:lang w:val="cs-CZ"/>
    </w:rPr>
  </w:style>
  <w:style w:type="character" w:styleId="Kommentarzeichen">
    <w:name w:val="annotation reference"/>
    <w:basedOn w:val="Absatz-Standardschriftart"/>
    <w:uiPriority w:val="99"/>
    <w:semiHidden/>
    <w:unhideWhenUsed/>
    <w:rsid w:val="00694DF2"/>
    <w:rPr>
      <w:sz w:val="16"/>
      <w:szCs w:val="16"/>
    </w:rPr>
  </w:style>
  <w:style w:type="paragraph" w:styleId="Kommentartext">
    <w:name w:val="annotation text"/>
    <w:basedOn w:val="Standard"/>
    <w:link w:val="KommentartextZchn"/>
    <w:uiPriority w:val="99"/>
    <w:semiHidden/>
    <w:unhideWhenUsed/>
    <w:rsid w:val="00694DF2"/>
    <w:rPr>
      <w:sz w:val="20"/>
      <w:szCs w:val="20"/>
    </w:rPr>
  </w:style>
  <w:style w:type="character" w:customStyle="1" w:styleId="KommentartextZchn">
    <w:name w:val="Kommentartext Zchn"/>
    <w:basedOn w:val="Absatz-Standardschriftart"/>
    <w:link w:val="Kommentartext"/>
    <w:uiPriority w:val="99"/>
    <w:semiHidden/>
    <w:rsid w:val="00694DF2"/>
    <w:rPr>
      <w:rFonts w:ascii="Arial" w:hAnsi="Arial"/>
      <w:lang w:val="cs-CZ"/>
    </w:rPr>
  </w:style>
  <w:style w:type="paragraph" w:styleId="Kommentarthema">
    <w:name w:val="annotation subject"/>
    <w:basedOn w:val="Kommentartext"/>
    <w:next w:val="Kommentartext"/>
    <w:link w:val="KommentarthemaZchn"/>
    <w:uiPriority w:val="99"/>
    <w:semiHidden/>
    <w:unhideWhenUsed/>
    <w:rsid w:val="00694DF2"/>
    <w:rPr>
      <w:b/>
      <w:bCs/>
    </w:rPr>
  </w:style>
  <w:style w:type="character" w:customStyle="1" w:styleId="KommentarthemaZchn">
    <w:name w:val="Kommentarthema Zchn"/>
    <w:basedOn w:val="KommentartextZchn"/>
    <w:link w:val="Kommentarthema"/>
    <w:uiPriority w:val="99"/>
    <w:semiHidden/>
    <w:rsid w:val="00694DF2"/>
    <w:rPr>
      <w:rFonts w:ascii="Arial" w:hAnsi="Arial"/>
      <w:b/>
      <w:bCs/>
      <w:lang w:val="cs-CZ"/>
    </w:rPr>
  </w:style>
  <w:style w:type="table" w:styleId="Tabellenraster">
    <w:name w:val="Table Grid"/>
    <w:basedOn w:val="NormaleTabelle"/>
    <w:uiPriority w:val="59"/>
    <w:rsid w:val="00840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840953"/>
    <w:rPr>
      <w:sz w:val="20"/>
      <w:szCs w:val="20"/>
    </w:rPr>
  </w:style>
  <w:style w:type="character" w:customStyle="1" w:styleId="FunotentextZchn">
    <w:name w:val="Fußnotentext Zchn"/>
    <w:basedOn w:val="Absatz-Standardschriftart"/>
    <w:link w:val="Funotentext"/>
    <w:uiPriority w:val="99"/>
    <w:semiHidden/>
    <w:rsid w:val="00840953"/>
    <w:rPr>
      <w:rFonts w:ascii="Arial" w:hAnsi="Arial"/>
      <w:lang w:val="cs-CZ"/>
    </w:rPr>
  </w:style>
  <w:style w:type="character" w:styleId="Funotenzeichen">
    <w:name w:val="footnote reference"/>
    <w:basedOn w:val="Absatz-Standardschriftart"/>
    <w:uiPriority w:val="99"/>
    <w:semiHidden/>
    <w:unhideWhenUsed/>
    <w:rsid w:val="00840953"/>
    <w:rPr>
      <w:vertAlign w:val="superscript"/>
    </w:rPr>
  </w:style>
  <w:style w:type="paragraph" w:customStyle="1" w:styleId="Standard12pt">
    <w:name w:val="Standard+12pt"/>
    <w:basedOn w:val="Standard"/>
    <w:rsid w:val="00D256EF"/>
    <w:pPr>
      <w:spacing w:line="320" w:lineRule="exact"/>
    </w:pPr>
    <w:rPr>
      <w:rFonts w:ascii="Arial Narrow" w:hAnsi="Arial Narrow"/>
      <w:sz w:val="24"/>
      <w:szCs w:val="2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123AF"/>
    <w:pPr>
      <w:jc w:val="both"/>
    </w:pPr>
    <w:rPr>
      <w:rFonts w:ascii="Arial" w:hAnsi="Arial"/>
      <w:sz w:val="22"/>
      <w:szCs w:val="24"/>
      <w:lang w:val="cs-CZ"/>
    </w:rPr>
  </w:style>
  <w:style w:type="paragraph" w:styleId="berschrift1">
    <w:name w:val="heading 1"/>
    <w:basedOn w:val="Standard"/>
    <w:next w:val="Standard"/>
    <w:autoRedefine/>
    <w:qFormat/>
    <w:rsid w:val="008010F8"/>
    <w:pPr>
      <w:keepNext/>
      <w:numPr>
        <w:numId w:val="17"/>
      </w:numPr>
      <w:spacing w:before="480" w:after="100"/>
      <w:outlineLvl w:val="0"/>
    </w:pPr>
    <w:rPr>
      <w:rFonts w:ascii="Arial Fett" w:hAnsi="Arial Fett" w:cs="Arial"/>
      <w:kern w:val="32"/>
      <w:sz w:val="24"/>
      <w:szCs w:val="32"/>
      <w:lang w:val="de-DE"/>
    </w:rPr>
  </w:style>
  <w:style w:type="paragraph" w:styleId="berschrift2">
    <w:name w:val="heading 2"/>
    <w:basedOn w:val="berschrift1"/>
    <w:next w:val="Standard"/>
    <w:autoRedefine/>
    <w:qFormat/>
    <w:rsid w:val="00370625"/>
    <w:pPr>
      <w:numPr>
        <w:ilvl w:val="1"/>
      </w:numPr>
      <w:tabs>
        <w:tab w:val="clear" w:pos="851"/>
        <w:tab w:val="num" w:pos="567"/>
      </w:tabs>
      <w:spacing w:before="200"/>
      <w:ind w:left="567" w:hanging="567"/>
      <w:outlineLvl w:val="1"/>
    </w:pPr>
    <w:rPr>
      <w:bCs/>
      <w:iCs/>
      <w:sz w:val="22"/>
      <w:szCs w:val="22"/>
    </w:rPr>
  </w:style>
  <w:style w:type="paragraph" w:styleId="berschrift3">
    <w:name w:val="heading 3"/>
    <w:basedOn w:val="berschrift2"/>
    <w:next w:val="Standard"/>
    <w:autoRedefine/>
    <w:qFormat/>
    <w:rsid w:val="00DB4DA4"/>
    <w:pPr>
      <w:numPr>
        <w:ilvl w:val="2"/>
      </w:numPr>
      <w:tabs>
        <w:tab w:val="clear" w:pos="720"/>
      </w:tabs>
      <w:ind w:left="1418" w:hanging="709"/>
      <w:outlineLvl w:val="2"/>
    </w:pPr>
    <w:rPr>
      <w:rFonts w:ascii="Arial" w:hAnsi="Arial"/>
      <w:bCs w:val="0"/>
      <w:szCs w:val="26"/>
    </w:rPr>
  </w:style>
  <w:style w:type="paragraph" w:styleId="berschrift4">
    <w:name w:val="heading 4"/>
    <w:basedOn w:val="Standard"/>
    <w:next w:val="Standard"/>
    <w:qFormat/>
    <w:rsid w:val="000123AF"/>
    <w:pPr>
      <w:keepNext/>
      <w:numPr>
        <w:ilvl w:val="3"/>
        <w:numId w:val="17"/>
      </w:numPr>
      <w:spacing w:before="240" w:after="60"/>
      <w:outlineLvl w:val="3"/>
    </w:pPr>
    <w:rPr>
      <w:rFonts w:ascii="Times New Roman" w:hAnsi="Times New Roman"/>
      <w:b/>
      <w:bCs/>
      <w:sz w:val="28"/>
      <w:szCs w:val="28"/>
    </w:rPr>
  </w:style>
  <w:style w:type="paragraph" w:styleId="berschrift5">
    <w:name w:val="heading 5"/>
    <w:basedOn w:val="Standard"/>
    <w:next w:val="Standard"/>
    <w:qFormat/>
    <w:rsid w:val="000123AF"/>
    <w:pPr>
      <w:spacing w:before="240" w:after="60"/>
      <w:outlineLvl w:val="4"/>
    </w:pPr>
    <w:rPr>
      <w:b/>
      <w:bCs/>
      <w:i/>
      <w:iCs/>
      <w:sz w:val="26"/>
      <w:szCs w:val="26"/>
    </w:rPr>
  </w:style>
  <w:style w:type="paragraph" w:styleId="berschrift6">
    <w:name w:val="heading 6"/>
    <w:basedOn w:val="Standard"/>
    <w:next w:val="Standard"/>
    <w:qFormat/>
    <w:rsid w:val="000123AF"/>
    <w:pPr>
      <w:spacing w:before="240" w:after="60"/>
      <w:outlineLvl w:val="5"/>
    </w:pPr>
    <w:rPr>
      <w:rFonts w:ascii="Times New Roman" w:hAnsi="Times New Roman"/>
      <w:b/>
      <w:bCs/>
      <w:szCs w:val="22"/>
    </w:rPr>
  </w:style>
  <w:style w:type="paragraph" w:styleId="berschrift7">
    <w:name w:val="heading 7"/>
    <w:basedOn w:val="Standard"/>
    <w:next w:val="Standard"/>
    <w:qFormat/>
    <w:rsid w:val="000123AF"/>
    <w:pPr>
      <w:spacing w:before="240" w:after="60"/>
      <w:outlineLvl w:val="6"/>
    </w:pPr>
    <w:rPr>
      <w:rFonts w:ascii="Times New Roman" w:hAnsi="Times New Roman"/>
      <w:sz w:val="24"/>
    </w:rPr>
  </w:style>
  <w:style w:type="paragraph" w:styleId="berschrift8">
    <w:name w:val="heading 8"/>
    <w:basedOn w:val="Standard"/>
    <w:next w:val="Standard"/>
    <w:qFormat/>
    <w:rsid w:val="000123AF"/>
    <w:pPr>
      <w:spacing w:before="240" w:after="60"/>
      <w:outlineLvl w:val="7"/>
    </w:pPr>
    <w:rPr>
      <w:rFonts w:ascii="Times New Roman" w:hAnsi="Times New Roman"/>
      <w:i/>
      <w:iCs/>
      <w:sz w:val="24"/>
    </w:rPr>
  </w:style>
  <w:style w:type="paragraph" w:styleId="berschrift9">
    <w:name w:val="heading 9"/>
    <w:basedOn w:val="Standard"/>
    <w:next w:val="Standard"/>
    <w:qFormat/>
    <w:rsid w:val="000123AF"/>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123AF"/>
    <w:pPr>
      <w:tabs>
        <w:tab w:val="center" w:pos="4536"/>
        <w:tab w:val="right" w:pos="9072"/>
      </w:tabs>
    </w:pPr>
    <w:rPr>
      <w:sz w:val="20"/>
    </w:rPr>
  </w:style>
  <w:style w:type="paragraph" w:styleId="Fuzeile">
    <w:name w:val="footer"/>
    <w:basedOn w:val="Standard"/>
    <w:semiHidden/>
    <w:rsid w:val="000123AF"/>
    <w:pPr>
      <w:tabs>
        <w:tab w:val="center" w:pos="4536"/>
        <w:tab w:val="right" w:pos="9072"/>
      </w:tabs>
    </w:pPr>
  </w:style>
  <w:style w:type="paragraph" w:customStyle="1" w:styleId="plohy">
    <w:name w:val="přílohy"/>
    <w:basedOn w:val="Standard"/>
    <w:rsid w:val="000123AF"/>
    <w:pPr>
      <w:tabs>
        <w:tab w:val="left" w:pos="1134"/>
      </w:tabs>
      <w:spacing w:before="200"/>
      <w:ind w:left="1134" w:hanging="1134"/>
    </w:pPr>
    <w:rPr>
      <w:rFonts w:ascii="Arial Fett" w:hAnsi="Arial Fett"/>
      <w:b/>
      <w:bCs/>
      <w:u w:val="words"/>
    </w:rPr>
  </w:style>
  <w:style w:type="paragraph" w:customStyle="1" w:styleId="Ploha1">
    <w:name w:val="Příloha 1"/>
    <w:basedOn w:val="Anstrich"/>
    <w:rsid w:val="000123AF"/>
    <w:pPr>
      <w:numPr>
        <w:ilvl w:val="0"/>
        <w:numId w:val="11"/>
      </w:numPr>
      <w:tabs>
        <w:tab w:val="clear" w:pos="1080"/>
        <w:tab w:val="left" w:pos="1134"/>
      </w:tabs>
      <w:ind w:left="1134" w:hanging="1134"/>
    </w:pPr>
  </w:style>
  <w:style w:type="paragraph" w:customStyle="1" w:styleId="Anstrich">
    <w:name w:val="Anstrich"/>
    <w:basedOn w:val="Standard"/>
    <w:rsid w:val="000123AF"/>
    <w:pPr>
      <w:numPr>
        <w:ilvl w:val="1"/>
        <w:numId w:val="6"/>
      </w:numPr>
      <w:tabs>
        <w:tab w:val="clear" w:pos="1477"/>
      </w:tabs>
      <w:spacing w:before="120"/>
      <w:ind w:left="284" w:hanging="284"/>
    </w:pPr>
    <w:rPr>
      <w:rFonts w:cs="Arial"/>
    </w:rPr>
  </w:style>
  <w:style w:type="paragraph" w:customStyle="1" w:styleId="Kstchen">
    <w:name w:val="Kästchen"/>
    <w:basedOn w:val="Standard"/>
    <w:rsid w:val="000123AF"/>
    <w:pPr>
      <w:numPr>
        <w:numId w:val="9"/>
      </w:numPr>
      <w:tabs>
        <w:tab w:val="clear" w:pos="851"/>
      </w:tabs>
      <w:spacing w:before="100"/>
      <w:ind w:left="567"/>
    </w:pPr>
    <w:rPr>
      <w:rFonts w:cs="Arial"/>
    </w:rPr>
  </w:style>
  <w:style w:type="paragraph" w:customStyle="1" w:styleId="berschrift">
    <w:name w:val="Überschrift"/>
    <w:basedOn w:val="Standard"/>
    <w:rsid w:val="000123AF"/>
    <w:pPr>
      <w:pBdr>
        <w:bottom w:val="single" w:sz="12" w:space="1" w:color="auto"/>
      </w:pBdr>
      <w:spacing w:before="600"/>
      <w:jc w:val="center"/>
    </w:pPr>
    <w:rPr>
      <w:rFonts w:cs="Arial"/>
      <w:b/>
      <w:bCs/>
    </w:rPr>
  </w:style>
  <w:style w:type="paragraph" w:customStyle="1" w:styleId="Kopfzeile2">
    <w:name w:val="Kopfzeile 2"/>
    <w:basedOn w:val="Kopfzeile"/>
    <w:rsid w:val="000123AF"/>
    <w:pPr>
      <w:pBdr>
        <w:bottom w:val="single" w:sz="4" w:space="1" w:color="auto"/>
      </w:pBdr>
      <w:tabs>
        <w:tab w:val="clear" w:pos="4536"/>
        <w:tab w:val="clear" w:pos="9072"/>
        <w:tab w:val="right" w:pos="9356"/>
      </w:tabs>
    </w:pPr>
  </w:style>
  <w:style w:type="paragraph" w:styleId="Textkrper">
    <w:name w:val="Body Text"/>
    <w:basedOn w:val="Standard"/>
    <w:semiHidden/>
    <w:rsid w:val="000123AF"/>
    <w:rPr>
      <w:color w:val="0000FF"/>
    </w:rPr>
  </w:style>
  <w:style w:type="paragraph" w:styleId="Verzeichnis1">
    <w:name w:val="toc 1"/>
    <w:basedOn w:val="Standard"/>
    <w:next w:val="Standard"/>
    <w:autoRedefine/>
    <w:semiHidden/>
    <w:rsid w:val="000123AF"/>
    <w:pPr>
      <w:tabs>
        <w:tab w:val="right" w:leader="dot" w:pos="8930"/>
        <w:tab w:val="right" w:pos="9356"/>
      </w:tabs>
      <w:spacing w:before="220"/>
      <w:ind w:left="851" w:hanging="851"/>
    </w:pPr>
    <w:rPr>
      <w:rFonts w:ascii="Arial Fett" w:hAnsi="Arial Fett"/>
      <w:b/>
      <w:noProof/>
      <w:sz w:val="24"/>
    </w:rPr>
  </w:style>
  <w:style w:type="paragraph" w:styleId="Verzeichnis2">
    <w:name w:val="toc 2"/>
    <w:basedOn w:val="Verzeichnis1"/>
    <w:next w:val="Standard"/>
    <w:autoRedefine/>
    <w:semiHidden/>
    <w:rsid w:val="000123AF"/>
    <w:pPr>
      <w:tabs>
        <w:tab w:val="left" w:pos="851"/>
      </w:tabs>
      <w:spacing w:before="120"/>
      <w:jc w:val="left"/>
    </w:pPr>
    <w:rPr>
      <w:rFonts w:ascii="Arial" w:hAnsi="Arial"/>
      <w:b w:val="0"/>
      <w:sz w:val="22"/>
    </w:rPr>
  </w:style>
  <w:style w:type="paragraph" w:styleId="Verzeichnis3">
    <w:name w:val="toc 3"/>
    <w:basedOn w:val="Verzeichnis2"/>
    <w:next w:val="Standard"/>
    <w:autoRedefine/>
    <w:semiHidden/>
    <w:rsid w:val="000123AF"/>
    <w:pPr>
      <w:spacing w:before="60"/>
    </w:pPr>
    <w:rPr>
      <w:szCs w:val="22"/>
    </w:rPr>
  </w:style>
  <w:style w:type="paragraph" w:styleId="Verzeichnis4">
    <w:name w:val="toc 4"/>
    <w:basedOn w:val="Standard"/>
    <w:next w:val="Standard"/>
    <w:autoRedefine/>
    <w:semiHidden/>
    <w:rsid w:val="000123AF"/>
    <w:pPr>
      <w:ind w:left="660"/>
    </w:pPr>
  </w:style>
  <w:style w:type="paragraph" w:styleId="Verzeichnis5">
    <w:name w:val="toc 5"/>
    <w:basedOn w:val="Standard"/>
    <w:next w:val="Standard"/>
    <w:autoRedefine/>
    <w:semiHidden/>
    <w:rsid w:val="000123AF"/>
    <w:pPr>
      <w:ind w:left="880"/>
    </w:pPr>
  </w:style>
  <w:style w:type="paragraph" w:styleId="Verzeichnis6">
    <w:name w:val="toc 6"/>
    <w:basedOn w:val="Standard"/>
    <w:next w:val="Standard"/>
    <w:autoRedefine/>
    <w:semiHidden/>
    <w:rsid w:val="000123AF"/>
    <w:pPr>
      <w:ind w:left="1100"/>
    </w:pPr>
  </w:style>
  <w:style w:type="paragraph" w:styleId="Verzeichnis7">
    <w:name w:val="toc 7"/>
    <w:basedOn w:val="Standard"/>
    <w:next w:val="Standard"/>
    <w:autoRedefine/>
    <w:semiHidden/>
    <w:rsid w:val="000123AF"/>
    <w:pPr>
      <w:ind w:left="1320"/>
    </w:pPr>
  </w:style>
  <w:style w:type="paragraph" w:styleId="Verzeichnis8">
    <w:name w:val="toc 8"/>
    <w:basedOn w:val="Standard"/>
    <w:next w:val="Standard"/>
    <w:autoRedefine/>
    <w:semiHidden/>
    <w:rsid w:val="000123AF"/>
    <w:pPr>
      <w:ind w:left="1540"/>
    </w:pPr>
  </w:style>
  <w:style w:type="paragraph" w:styleId="Verzeichnis9">
    <w:name w:val="toc 9"/>
    <w:basedOn w:val="Standard"/>
    <w:next w:val="Standard"/>
    <w:autoRedefine/>
    <w:semiHidden/>
    <w:rsid w:val="000123AF"/>
    <w:pPr>
      <w:ind w:left="1760"/>
    </w:pPr>
  </w:style>
  <w:style w:type="character" w:styleId="Hyperlink">
    <w:name w:val="Hyperlink"/>
    <w:basedOn w:val="Absatz-Standardschriftart"/>
    <w:semiHidden/>
    <w:rsid w:val="000123AF"/>
    <w:rPr>
      <w:color w:val="0000FF"/>
      <w:u w:val="single"/>
    </w:rPr>
  </w:style>
  <w:style w:type="paragraph" w:styleId="Textkrper2">
    <w:name w:val="Body Text 2"/>
    <w:basedOn w:val="Standard"/>
    <w:semiHidden/>
    <w:rsid w:val="000123AF"/>
    <w:pPr>
      <w:jc w:val="center"/>
    </w:pPr>
    <w:rPr>
      <w:sz w:val="28"/>
    </w:rPr>
  </w:style>
  <w:style w:type="character" w:customStyle="1" w:styleId="KopfzeileZchn">
    <w:name w:val="Kopfzeile Zchn"/>
    <w:basedOn w:val="Absatz-Standardschriftart"/>
    <w:link w:val="Kopfzeile"/>
    <w:rsid w:val="00A803B7"/>
    <w:rPr>
      <w:rFonts w:ascii="Arial" w:hAnsi="Arial"/>
      <w:szCs w:val="24"/>
      <w:lang w:val="cs-CZ"/>
    </w:rPr>
  </w:style>
  <w:style w:type="paragraph" w:customStyle="1" w:styleId="Kopfzeile20">
    <w:name w:val="Kopfzeile2"/>
    <w:basedOn w:val="Kopfzeile"/>
    <w:rsid w:val="007A74D9"/>
    <w:pPr>
      <w:pBdr>
        <w:bottom w:val="single" w:sz="6" w:space="1" w:color="auto"/>
      </w:pBdr>
      <w:tabs>
        <w:tab w:val="clear" w:pos="4536"/>
        <w:tab w:val="clear" w:pos="9072"/>
        <w:tab w:val="right" w:pos="9360"/>
      </w:tabs>
    </w:pPr>
    <w:rPr>
      <w:rFonts w:cs="Arial"/>
      <w:sz w:val="14"/>
      <w:lang w:val="de-DE"/>
    </w:rPr>
  </w:style>
  <w:style w:type="paragraph" w:customStyle="1" w:styleId="NummerierungBeschlussvorschlag">
    <w:name w:val="Nummerierung Beschlussvorschlag"/>
    <w:basedOn w:val="berschrift1"/>
    <w:rsid w:val="007A74D9"/>
    <w:pPr>
      <w:numPr>
        <w:numId w:val="19"/>
      </w:numPr>
      <w:spacing w:before="400" w:after="0"/>
    </w:pPr>
    <w:rPr>
      <w:rFonts w:ascii="Arial" w:hAnsi="Arial"/>
      <w:bCs/>
      <w:sz w:val="22"/>
    </w:rPr>
  </w:style>
  <w:style w:type="paragraph" w:styleId="Listenabsatz">
    <w:name w:val="List Paragraph"/>
    <w:basedOn w:val="Standard"/>
    <w:uiPriority w:val="34"/>
    <w:qFormat/>
    <w:rsid w:val="007A74D9"/>
    <w:pPr>
      <w:ind w:left="720"/>
      <w:contextualSpacing/>
    </w:pPr>
  </w:style>
  <w:style w:type="paragraph" w:styleId="Sprechblasentext">
    <w:name w:val="Balloon Text"/>
    <w:basedOn w:val="Standard"/>
    <w:link w:val="SprechblasentextZchn"/>
    <w:uiPriority w:val="99"/>
    <w:semiHidden/>
    <w:unhideWhenUsed/>
    <w:rsid w:val="00CA1BD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1BD1"/>
    <w:rPr>
      <w:rFonts w:ascii="Tahoma" w:hAnsi="Tahoma" w:cs="Tahoma"/>
      <w:sz w:val="16"/>
      <w:szCs w:val="16"/>
      <w:lang w:val="cs-CZ"/>
    </w:rPr>
  </w:style>
  <w:style w:type="character" w:styleId="Kommentarzeichen">
    <w:name w:val="annotation reference"/>
    <w:basedOn w:val="Absatz-Standardschriftart"/>
    <w:uiPriority w:val="99"/>
    <w:semiHidden/>
    <w:unhideWhenUsed/>
    <w:rsid w:val="00694DF2"/>
    <w:rPr>
      <w:sz w:val="16"/>
      <w:szCs w:val="16"/>
    </w:rPr>
  </w:style>
  <w:style w:type="paragraph" w:styleId="Kommentartext">
    <w:name w:val="annotation text"/>
    <w:basedOn w:val="Standard"/>
    <w:link w:val="KommentartextZchn"/>
    <w:uiPriority w:val="99"/>
    <w:semiHidden/>
    <w:unhideWhenUsed/>
    <w:rsid w:val="00694DF2"/>
    <w:rPr>
      <w:sz w:val="20"/>
      <w:szCs w:val="20"/>
    </w:rPr>
  </w:style>
  <w:style w:type="character" w:customStyle="1" w:styleId="KommentartextZchn">
    <w:name w:val="Kommentartext Zchn"/>
    <w:basedOn w:val="Absatz-Standardschriftart"/>
    <w:link w:val="Kommentartext"/>
    <w:uiPriority w:val="99"/>
    <w:semiHidden/>
    <w:rsid w:val="00694DF2"/>
    <w:rPr>
      <w:rFonts w:ascii="Arial" w:hAnsi="Arial"/>
      <w:lang w:val="cs-CZ"/>
    </w:rPr>
  </w:style>
  <w:style w:type="paragraph" w:styleId="Kommentarthema">
    <w:name w:val="annotation subject"/>
    <w:basedOn w:val="Kommentartext"/>
    <w:next w:val="Kommentartext"/>
    <w:link w:val="KommentarthemaZchn"/>
    <w:uiPriority w:val="99"/>
    <w:semiHidden/>
    <w:unhideWhenUsed/>
    <w:rsid w:val="00694DF2"/>
    <w:rPr>
      <w:b/>
      <w:bCs/>
    </w:rPr>
  </w:style>
  <w:style w:type="character" w:customStyle="1" w:styleId="KommentarthemaZchn">
    <w:name w:val="Kommentarthema Zchn"/>
    <w:basedOn w:val="KommentartextZchn"/>
    <w:link w:val="Kommentarthema"/>
    <w:uiPriority w:val="99"/>
    <w:semiHidden/>
    <w:rsid w:val="00694DF2"/>
    <w:rPr>
      <w:rFonts w:ascii="Arial" w:hAnsi="Arial"/>
      <w:b/>
      <w:bCs/>
      <w:lang w:val="cs-CZ"/>
    </w:rPr>
  </w:style>
  <w:style w:type="table" w:styleId="Tabellenraster">
    <w:name w:val="Table Grid"/>
    <w:basedOn w:val="NormaleTabelle"/>
    <w:uiPriority w:val="59"/>
    <w:rsid w:val="008409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840953"/>
    <w:rPr>
      <w:sz w:val="20"/>
      <w:szCs w:val="20"/>
    </w:rPr>
  </w:style>
  <w:style w:type="character" w:customStyle="1" w:styleId="FunotentextZchn">
    <w:name w:val="Fußnotentext Zchn"/>
    <w:basedOn w:val="Absatz-Standardschriftart"/>
    <w:link w:val="Funotentext"/>
    <w:uiPriority w:val="99"/>
    <w:semiHidden/>
    <w:rsid w:val="00840953"/>
    <w:rPr>
      <w:rFonts w:ascii="Arial" w:hAnsi="Arial"/>
      <w:lang w:val="cs-CZ"/>
    </w:rPr>
  </w:style>
  <w:style w:type="character" w:styleId="Funotenzeichen">
    <w:name w:val="footnote reference"/>
    <w:basedOn w:val="Absatz-Standardschriftart"/>
    <w:uiPriority w:val="99"/>
    <w:semiHidden/>
    <w:unhideWhenUsed/>
    <w:rsid w:val="00840953"/>
    <w:rPr>
      <w:vertAlign w:val="superscript"/>
    </w:rPr>
  </w:style>
  <w:style w:type="paragraph" w:customStyle="1" w:styleId="Standard12pt">
    <w:name w:val="Standard+12pt"/>
    <w:basedOn w:val="Standard"/>
    <w:rsid w:val="00D256EF"/>
    <w:pPr>
      <w:spacing w:line="320" w:lineRule="exact"/>
    </w:pPr>
    <w:rPr>
      <w:rFonts w:ascii="Arial Narrow" w:hAnsi="Arial Narrow"/>
      <w:sz w:val="24"/>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639965">
      <w:bodyDiv w:val="1"/>
      <w:marLeft w:val="0"/>
      <w:marRight w:val="0"/>
      <w:marTop w:val="0"/>
      <w:marBottom w:val="0"/>
      <w:divBdr>
        <w:top w:val="none" w:sz="0" w:space="0" w:color="auto"/>
        <w:left w:val="none" w:sz="0" w:space="0" w:color="auto"/>
        <w:bottom w:val="none" w:sz="0" w:space="0" w:color="auto"/>
        <w:right w:val="none" w:sz="0" w:space="0" w:color="auto"/>
      </w:divBdr>
    </w:div>
    <w:div w:id="1445079625">
      <w:bodyDiv w:val="1"/>
      <w:marLeft w:val="0"/>
      <w:marRight w:val="0"/>
      <w:marTop w:val="0"/>
      <w:marBottom w:val="0"/>
      <w:divBdr>
        <w:top w:val="none" w:sz="0" w:space="0" w:color="auto"/>
        <w:left w:val="none" w:sz="0" w:space="0" w:color="auto"/>
        <w:bottom w:val="none" w:sz="0" w:space="0" w:color="auto"/>
        <w:right w:val="none" w:sz="0" w:space="0" w:color="auto"/>
      </w:divBdr>
    </w:div>
    <w:div w:id="1778481501">
      <w:bodyDiv w:val="1"/>
      <w:marLeft w:val="0"/>
      <w:marRight w:val="0"/>
      <w:marTop w:val="0"/>
      <w:marBottom w:val="0"/>
      <w:divBdr>
        <w:top w:val="none" w:sz="0" w:space="0" w:color="auto"/>
        <w:left w:val="none" w:sz="0" w:space="0" w:color="auto"/>
        <w:bottom w:val="none" w:sz="0" w:space="0" w:color="auto"/>
        <w:right w:val="none" w:sz="0" w:space="0" w:color="auto"/>
      </w:divBdr>
    </w:div>
    <w:div w:id="1786196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F63D6-EA56-400D-B775-546FC848F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2796</Words>
  <Characters>18969</Characters>
  <Application>Microsoft Office Word</Application>
  <DocSecurity>0</DocSecurity>
  <Lines>158</Lines>
  <Paragraphs>43</Paragraphs>
  <ScaleCrop>false</ScaleCrop>
  <HeadingPairs>
    <vt:vector size="2" baseType="variant">
      <vt:variant>
        <vt:lpstr>Titel</vt:lpstr>
      </vt:variant>
      <vt:variant>
        <vt:i4>1</vt:i4>
      </vt:variant>
    </vt:vector>
  </HeadingPairs>
  <TitlesOfParts>
    <vt:vector size="1" baseType="lpstr">
      <vt:lpstr>Bericht</vt:lpstr>
    </vt:vector>
  </TitlesOfParts>
  <Company>IKSE</Company>
  <LinksUpToDate>false</LinksUpToDate>
  <CharactersWithSpaces>21722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creator>Bekele</dc:creator>
  <cp:lastModifiedBy>Knotek, Pavel</cp:lastModifiedBy>
  <cp:revision>15</cp:revision>
  <cp:lastPrinted>2017-02-09T10:16:00Z</cp:lastPrinted>
  <dcterms:created xsi:type="dcterms:W3CDTF">2017-02-06T15:45:00Z</dcterms:created>
  <dcterms:modified xsi:type="dcterms:W3CDTF">2017-03-06T11:38:00Z</dcterms:modified>
</cp:coreProperties>
</file>