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E8" w:rsidRPr="001D5808" w:rsidRDefault="004A7E76" w:rsidP="007A0781">
      <w:pPr>
        <w:pStyle w:val="berschrift"/>
      </w:pPr>
      <w:r w:rsidRPr="001D5808">
        <w:rPr>
          <w:szCs w:val="22"/>
        </w:rPr>
        <w:t xml:space="preserve">Schwerpunktthemen für die Koordinierung der Bewirtschaftungsplanung </w:t>
      </w:r>
      <w:bookmarkStart w:id="0" w:name="_GoBack"/>
      <w:bookmarkEnd w:id="0"/>
      <w:r w:rsidR="00D7144B" w:rsidRPr="001D5808">
        <w:rPr>
          <w:szCs w:val="22"/>
        </w:rPr>
        <w:br/>
      </w:r>
      <w:r w:rsidRPr="001D5808">
        <w:rPr>
          <w:szCs w:val="22"/>
        </w:rPr>
        <w:t>auf der internationalen Ebene</w:t>
      </w:r>
      <w:r w:rsidR="007A0781" w:rsidRPr="001D5808">
        <w:rPr>
          <w:szCs w:val="22"/>
        </w:rPr>
        <w:br/>
      </w:r>
      <w:r w:rsidR="008A69CB" w:rsidRPr="001D5808">
        <w:rPr>
          <w:b w:val="0"/>
        </w:rPr>
        <w:t xml:space="preserve">(Stand: </w:t>
      </w:r>
      <w:r w:rsidR="009F081C">
        <w:rPr>
          <w:b w:val="0"/>
        </w:rPr>
        <w:t>18</w:t>
      </w:r>
      <w:r w:rsidR="000C299A" w:rsidRPr="001D5808">
        <w:rPr>
          <w:b w:val="0"/>
        </w:rPr>
        <w:t>.0</w:t>
      </w:r>
      <w:r w:rsidR="009F081C">
        <w:rPr>
          <w:b w:val="0"/>
        </w:rPr>
        <w:t>9</w:t>
      </w:r>
      <w:r w:rsidR="000C299A" w:rsidRPr="001D5808">
        <w:rPr>
          <w:b w:val="0"/>
        </w:rPr>
        <w:t>.</w:t>
      </w:r>
      <w:r w:rsidRPr="001D5808">
        <w:rPr>
          <w:b w:val="0"/>
        </w:rPr>
        <w:t>2017</w:t>
      </w:r>
      <w:r w:rsidR="008A69CB" w:rsidRPr="001D5808">
        <w:rPr>
          <w:b w:val="0"/>
        </w:rPr>
        <w:t>)</w:t>
      </w:r>
    </w:p>
    <w:p w:rsidR="001D0EB6" w:rsidRPr="001D5808" w:rsidRDefault="001D0EB6" w:rsidP="00954868"/>
    <w:p w:rsidR="00D60CD5" w:rsidRPr="001D5808" w:rsidRDefault="00D60CD5" w:rsidP="00D60CD5">
      <w:r>
        <w:t xml:space="preserve">Im Vorfeld des 3 Bewirtschaftungsplans soll geprüft werden, welche Themen als Schwerpunkte für eine frühzeitige und vertiefte Koordinierung auf der internationalen Ebene geeignet sind. </w:t>
      </w:r>
      <w:r w:rsidRPr="001D5808">
        <w:t xml:space="preserve">Es </w:t>
      </w:r>
      <w:r>
        <w:t>bietet sich an</w:t>
      </w:r>
      <w:r w:rsidRPr="001D5808">
        <w:t xml:space="preserve">, vom Inhalt, den Kapiteln und den Themen des 2. </w:t>
      </w:r>
      <w:r w:rsidR="00B62278">
        <w:t>„</w:t>
      </w:r>
      <w:r w:rsidRPr="001D5808">
        <w:t>Internationalen Bewirtschaftungsplans für die Flussgebietseinheit Elbe</w:t>
      </w:r>
      <w:r w:rsidR="00B62278">
        <w:t>“</w:t>
      </w:r>
      <w:r w:rsidRPr="001D5808">
        <w:t xml:space="preserve"> auszugehen, da für den nächsten Bewirtschaftungszeitraum </w:t>
      </w:r>
      <w:r w:rsidR="00B62278">
        <w:t>dessen</w:t>
      </w:r>
      <w:r w:rsidRPr="001D5808">
        <w:t xml:space="preserve"> entsprechende Aktualisierung erstellt wird.</w:t>
      </w:r>
    </w:p>
    <w:p w:rsidR="00D60CD5" w:rsidRPr="001D5808" w:rsidRDefault="00D60CD5" w:rsidP="00D60CD5"/>
    <w:p w:rsidR="004A7E76" w:rsidRPr="001D5808" w:rsidRDefault="00D60CD5" w:rsidP="00D60CD5">
      <w:r w:rsidRPr="001D5808">
        <w:t xml:space="preserve">Als </w:t>
      </w:r>
      <w:r>
        <w:t>poten</w:t>
      </w:r>
      <w:r w:rsidR="00B62278">
        <w:t>z</w:t>
      </w:r>
      <w:r>
        <w:t xml:space="preserve">iell </w:t>
      </w:r>
      <w:r w:rsidRPr="001D5808">
        <w:t xml:space="preserve">geeignete Themen für </w:t>
      </w:r>
      <w:r>
        <w:t>eine vertiefte</w:t>
      </w:r>
      <w:r w:rsidRPr="001D5808">
        <w:t xml:space="preserve"> Koordinierung auf der Ebene der IKSE </w:t>
      </w:r>
      <w:r>
        <w:t>haben die Delegationen in der Arbeitsgruppe WFD vorgeschlagen</w:t>
      </w:r>
      <w:r w:rsidR="000C299A" w:rsidRPr="001D5808">
        <w:t xml:space="preserve"> </w:t>
      </w:r>
      <w:r w:rsidR="0016205D" w:rsidRPr="001D5808">
        <w:rPr>
          <w:highlight w:val="lightGray"/>
        </w:rPr>
        <w:t>[</w:t>
      </w:r>
      <w:r w:rsidR="000C299A" w:rsidRPr="001D5808">
        <w:rPr>
          <w:i/>
          <w:sz w:val="20"/>
          <w:szCs w:val="20"/>
          <w:highlight w:val="lightGray"/>
        </w:rPr>
        <w:t>bei jedem Thema s</w:t>
      </w:r>
      <w:r w:rsidR="004545D5">
        <w:rPr>
          <w:i/>
          <w:sz w:val="20"/>
          <w:szCs w:val="20"/>
          <w:highlight w:val="lightGray"/>
        </w:rPr>
        <w:t>ind</w:t>
      </w:r>
      <w:r w:rsidR="000C299A" w:rsidRPr="001D5808">
        <w:rPr>
          <w:i/>
          <w:sz w:val="20"/>
          <w:szCs w:val="20"/>
          <w:highlight w:val="lightGray"/>
        </w:rPr>
        <w:t xml:space="preserve"> der ggf. betroffene Teil des </w:t>
      </w:r>
      <w:r w:rsidR="0078562A">
        <w:rPr>
          <w:i/>
          <w:sz w:val="20"/>
          <w:szCs w:val="20"/>
          <w:highlight w:val="lightGray"/>
        </w:rPr>
        <w:t xml:space="preserve">internationalen </w:t>
      </w:r>
      <w:r w:rsidR="000C299A" w:rsidRPr="001D5808">
        <w:rPr>
          <w:i/>
          <w:sz w:val="20"/>
          <w:szCs w:val="20"/>
          <w:highlight w:val="lightGray"/>
        </w:rPr>
        <w:t>Plans und die verantwortliche Gruppe der IKSE aufgeführt</w:t>
      </w:r>
      <w:r w:rsidR="0016205D" w:rsidRPr="001D5808">
        <w:rPr>
          <w:sz w:val="20"/>
          <w:szCs w:val="20"/>
          <w:highlight w:val="lightGray"/>
        </w:rPr>
        <w:t>]</w:t>
      </w:r>
      <w:r w:rsidR="00B46820" w:rsidRPr="001D5808">
        <w:t>:</w:t>
      </w:r>
    </w:p>
    <w:p w:rsidR="004A7E76" w:rsidRPr="001D5808" w:rsidRDefault="00B46820" w:rsidP="00171A3C">
      <w:pPr>
        <w:pStyle w:val="Anstrich"/>
      </w:pPr>
      <w:r w:rsidRPr="001D5808">
        <w:t>Koordinierung ausgewählter Merkmale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16205D" w:rsidRPr="001D5808">
        <w:rPr>
          <w:i/>
          <w:sz w:val="20"/>
          <w:szCs w:val="20"/>
          <w:highlight w:val="lightGray"/>
        </w:rPr>
        <w:t xml:space="preserve"> (WFD);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1.1.1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1.2 (GW)</w:t>
      </w:r>
      <w:r w:rsidR="0016205D" w:rsidRPr="001D5808">
        <w:rPr>
          <w:highlight w:val="lightGray"/>
        </w:rPr>
        <w:t>]</w:t>
      </w:r>
      <w:r w:rsidRPr="001D5808">
        <w:t>, Typologie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1.1.2 (SW)</w:t>
      </w:r>
      <w:r w:rsidR="0016205D" w:rsidRPr="001D5808">
        <w:rPr>
          <w:highlight w:val="lightGray"/>
        </w:rPr>
        <w:t>]</w:t>
      </w:r>
      <w:r w:rsidRPr="001D5808">
        <w:t xml:space="preserve">, </w:t>
      </w:r>
      <w:r w:rsidR="006074B9">
        <w:t>Herangehen bei den</w:t>
      </w:r>
      <w:r w:rsidRPr="001D5808">
        <w:t xml:space="preserve"> HMWB (z. B. Talsperren)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1.1.3 (SW, 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D7144B">
      <w:pPr>
        <w:pStyle w:val="Anstrich"/>
      </w:pPr>
      <w:r w:rsidRPr="001D5808">
        <w:t xml:space="preserve">Identifizierung von Belastungen </w:t>
      </w:r>
      <w:r w:rsidR="00D7144B" w:rsidRPr="001D5808">
        <w:t>–</w:t>
      </w:r>
      <w:r w:rsidRPr="001D5808">
        <w:t xml:space="preserve"> Bestimmung </w:t>
      </w:r>
      <w:r w:rsidRPr="00766F3C">
        <w:t>der „obligatorischen“ Kategorien</w:t>
      </w:r>
      <w:r w:rsidRPr="001D5808">
        <w:t xml:space="preserve"> der Belastungen, Identifizierung und Bewertung in </w:t>
      </w:r>
      <w:r w:rsidR="00D7144B" w:rsidRPr="001D5808">
        <w:t xml:space="preserve">Deutschland </w:t>
      </w:r>
      <w:r w:rsidRPr="001D5808">
        <w:t xml:space="preserve">und </w:t>
      </w:r>
      <w:r w:rsidR="004545D5">
        <w:t>d</w:t>
      </w:r>
      <w:r w:rsidR="00D7144B" w:rsidRPr="001D5808">
        <w:t>er Tschechischen Republik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2.1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2.2,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II-4.4-2 (GW)</w:t>
      </w:r>
      <w:r w:rsidR="0016205D" w:rsidRPr="001D5808">
        <w:rPr>
          <w:highlight w:val="lightGray"/>
        </w:rPr>
        <w:t>]</w:t>
      </w:r>
      <w:r w:rsidR="00381233" w:rsidRPr="001D5808">
        <w:t>,</w:t>
      </w:r>
    </w:p>
    <w:p w:rsidR="000C299A" w:rsidRPr="001D5808" w:rsidRDefault="009F081C" w:rsidP="00171A3C">
      <w:pPr>
        <w:pStyle w:val="Anstrich"/>
      </w:pPr>
      <w:r>
        <w:t>Überprüfung der</w:t>
      </w:r>
      <w:r w:rsidR="000C299A" w:rsidRPr="001D5808">
        <w:t xml:space="preserve"> wichtigen Wasser</w:t>
      </w:r>
      <w:r w:rsidR="006074B9">
        <w:t>be</w:t>
      </w:r>
      <w:r w:rsidR="000C299A" w:rsidRPr="001D5808">
        <w:t>wirtschaft</w:t>
      </w:r>
      <w:r w:rsidR="006074B9">
        <w:t>ung</w:t>
      </w:r>
      <w:r w:rsidR="000C299A" w:rsidRPr="001D5808">
        <w:t>sfragen</w:t>
      </w:r>
      <w:r w:rsidR="0016205D" w:rsidRPr="001D5808">
        <w:t xml:space="preserve"> </w:t>
      </w:r>
      <w:r>
        <w:t xml:space="preserve">auf nationaler und internationaler Ebene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highlight w:val="lightGray"/>
        </w:rPr>
        <w:t>D</w:t>
      </w:r>
      <w:r w:rsidR="0016205D" w:rsidRPr="001D5808">
        <w:rPr>
          <w:i/>
          <w:sz w:val="20"/>
          <w:szCs w:val="20"/>
          <w:highlight w:val="lightGray"/>
        </w:rPr>
        <w:t xml:space="preserve">okument </w:t>
      </w:r>
      <w:r w:rsidR="00E43724" w:rsidRPr="001D5808">
        <w:rPr>
          <w:i/>
          <w:sz w:val="20"/>
          <w:szCs w:val="20"/>
          <w:highlight w:val="lightGray"/>
        </w:rPr>
        <w:t>nach</w:t>
      </w:r>
      <w:r w:rsidR="0016205D" w:rsidRPr="001D5808">
        <w:rPr>
          <w:i/>
          <w:sz w:val="20"/>
          <w:szCs w:val="20"/>
          <w:highlight w:val="lightGray"/>
        </w:rPr>
        <w:t xml:space="preserve"> </w:t>
      </w:r>
      <w:r w:rsidR="00E43724" w:rsidRPr="001D5808">
        <w:rPr>
          <w:i/>
          <w:sz w:val="20"/>
          <w:szCs w:val="20"/>
          <w:highlight w:val="lightGray"/>
        </w:rPr>
        <w:t>Art.</w:t>
      </w:r>
      <w:r w:rsidR="0016205D" w:rsidRPr="001D5808">
        <w:rPr>
          <w:i/>
          <w:sz w:val="20"/>
          <w:szCs w:val="20"/>
          <w:highlight w:val="lightGray"/>
        </w:rPr>
        <w:t xml:space="preserve"> 14 </w:t>
      </w:r>
      <w:r w:rsidR="00E43724" w:rsidRPr="001D5808">
        <w:rPr>
          <w:i/>
          <w:sz w:val="20"/>
          <w:szCs w:val="20"/>
          <w:highlight w:val="lightGray"/>
        </w:rPr>
        <w:t>Abs</w:t>
      </w:r>
      <w:r w:rsidR="0016205D" w:rsidRPr="001D5808">
        <w:rPr>
          <w:i/>
          <w:sz w:val="20"/>
          <w:szCs w:val="20"/>
          <w:highlight w:val="lightGray"/>
        </w:rPr>
        <w:t xml:space="preserve">. 1b </w:t>
      </w:r>
      <w:r w:rsidR="00E43724" w:rsidRPr="001D5808">
        <w:rPr>
          <w:i/>
          <w:sz w:val="20"/>
          <w:szCs w:val="20"/>
          <w:highlight w:val="lightGray"/>
        </w:rPr>
        <w:t>WRRL</w:t>
      </w:r>
      <w:r w:rsidR="0016205D" w:rsidRPr="001D5808">
        <w:rPr>
          <w:i/>
          <w:sz w:val="20"/>
          <w:szCs w:val="20"/>
          <w:highlight w:val="lightGray"/>
        </w:rPr>
        <w:t xml:space="preserve"> (WFD); </w:t>
      </w:r>
      <w:r w:rsidR="00E43724" w:rsidRPr="001D5808">
        <w:rPr>
          <w:i/>
          <w:sz w:val="20"/>
          <w:szCs w:val="20"/>
          <w:highlight w:val="lightGray"/>
        </w:rPr>
        <w:t>K</w:t>
      </w:r>
      <w:r w:rsidR="0016205D" w:rsidRPr="001D5808">
        <w:rPr>
          <w:i/>
          <w:sz w:val="20"/>
          <w:szCs w:val="20"/>
          <w:highlight w:val="lightGray"/>
        </w:rPr>
        <w:t>ap. 5.1 (WFD)</w:t>
      </w:r>
      <w:r w:rsidR="0016205D" w:rsidRPr="001D5808">
        <w:rPr>
          <w:highlight w:val="lightGray"/>
        </w:rPr>
        <w:t>]</w:t>
      </w:r>
      <w:r w:rsidR="004545D5">
        <w:t>,</w:t>
      </w:r>
    </w:p>
    <w:p w:rsidR="0016205D" w:rsidRPr="001D5808" w:rsidRDefault="00E62339" w:rsidP="00171A3C">
      <w:pPr>
        <w:pStyle w:val="Anstrich"/>
      </w:pPr>
      <w:r w:rsidRPr="001D5808">
        <w:t>Zustandsbewertung</w:t>
      </w:r>
    </w:p>
    <w:p w:rsidR="0016205D" w:rsidRPr="001D5808" w:rsidRDefault="00E62339" w:rsidP="0016205D">
      <w:pPr>
        <w:pStyle w:val="Kstchen"/>
      </w:pPr>
      <w:r w:rsidRPr="001D5808">
        <w:t>Information über methodische Verfahren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4.2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4.4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16205D" w:rsidRPr="001D5808" w:rsidRDefault="000C299A" w:rsidP="0016205D">
      <w:pPr>
        <w:pStyle w:val="Kstchen"/>
      </w:pPr>
      <w:r w:rsidRPr="001D5808">
        <w:t>Berücksichtigung des natürlichen Hintergrunds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sz w:val="20"/>
          <w:szCs w:val="20"/>
          <w:highlight w:val="lightGray"/>
        </w:rPr>
        <w:t>Ka</w:t>
      </w:r>
      <w:r w:rsidR="0016205D" w:rsidRPr="001D5808">
        <w:rPr>
          <w:i/>
          <w:sz w:val="20"/>
          <w:szCs w:val="20"/>
          <w:highlight w:val="lightGray"/>
        </w:rPr>
        <w:t>p. 4.2 (SW)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16205D" w:rsidRPr="001D5808" w:rsidRDefault="00E62339" w:rsidP="0016205D">
      <w:pPr>
        <w:pStyle w:val="Kstchen"/>
      </w:pPr>
      <w:r w:rsidRPr="001D5808">
        <w:t>Übersichten der Ergebnisse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II-4.2-1, </w:t>
      </w:r>
      <w:r w:rsidR="001D5808" w:rsidRPr="001D5808">
        <w:rPr>
          <w:i/>
          <w:sz w:val="20"/>
          <w:szCs w:val="20"/>
          <w:highlight w:val="lightGray"/>
        </w:rPr>
        <w:t>Abb.</w:t>
      </w:r>
      <w:r w:rsidR="0016205D" w:rsidRPr="001D5808">
        <w:rPr>
          <w:i/>
          <w:sz w:val="20"/>
          <w:szCs w:val="20"/>
          <w:highlight w:val="lightGray"/>
        </w:rPr>
        <w:t xml:space="preserve"> II-4.2-1, II-4.2-2, II-4.2-3,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16205D" w:rsidRPr="001D5808">
        <w:rPr>
          <w:i/>
          <w:sz w:val="20"/>
          <w:szCs w:val="20"/>
          <w:highlight w:val="lightGray"/>
        </w:rPr>
        <w:t xml:space="preserve"> 4.2, 4.3, 4.3.1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II-4.4-2, II-4.4-3, II-4.4-4,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16205D" w:rsidRPr="001D5808">
        <w:rPr>
          <w:i/>
          <w:sz w:val="20"/>
          <w:szCs w:val="20"/>
          <w:highlight w:val="lightGray"/>
        </w:rPr>
        <w:t xml:space="preserve"> 4.6, 4.6.1, 4.7, 4.7.1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16205D">
      <w:pPr>
        <w:pStyle w:val="Kstchen"/>
      </w:pPr>
      <w:r w:rsidRPr="001D5808">
        <w:t>Bewertung des ökologischen Potenzials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4.2 (SW)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171A3C">
      <w:pPr>
        <w:pStyle w:val="Anstrich"/>
      </w:pPr>
      <w:r w:rsidRPr="001D5808">
        <w:t>Überregionale Ziele und deren Umsetzung</w:t>
      </w:r>
    </w:p>
    <w:p w:rsidR="000C299A" w:rsidRPr="001D5808" w:rsidRDefault="000C299A" w:rsidP="004A7E76">
      <w:pPr>
        <w:pStyle w:val="Kstchen"/>
      </w:pPr>
      <w:r w:rsidRPr="001D5808">
        <w:t xml:space="preserve">Kontrolle der Erfüllung </w:t>
      </w:r>
      <w:r w:rsidR="00F14531">
        <w:t xml:space="preserve">der festgelegten </w:t>
      </w:r>
      <w:r w:rsidRPr="001D5808">
        <w:t>Ziele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sz w:val="20"/>
          <w:szCs w:val="20"/>
          <w:highlight w:val="lightGray"/>
        </w:rPr>
        <w:t>Ka</w:t>
      </w:r>
      <w:r w:rsidR="0016205D" w:rsidRPr="001D5808">
        <w:rPr>
          <w:i/>
          <w:sz w:val="20"/>
          <w:szCs w:val="20"/>
          <w:highlight w:val="lightGray"/>
        </w:rPr>
        <w:t xml:space="preserve">p. 5 – </w:t>
      </w:r>
      <w:r w:rsidR="00E43724" w:rsidRPr="001D5808">
        <w:rPr>
          <w:i/>
          <w:sz w:val="20"/>
          <w:szCs w:val="20"/>
          <w:highlight w:val="lightGray"/>
        </w:rPr>
        <w:t>Einleitung</w:t>
      </w:r>
      <w:r w:rsidR="0016205D" w:rsidRPr="001D5808">
        <w:rPr>
          <w:i/>
          <w:sz w:val="20"/>
          <w:szCs w:val="20"/>
          <w:highlight w:val="lightGray"/>
        </w:rPr>
        <w:t xml:space="preserve"> (WFD)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4A7E76">
      <w:pPr>
        <w:pStyle w:val="Kstchen"/>
      </w:pPr>
      <w:r w:rsidRPr="001D5808">
        <w:t>Herausstellung des Bedarfs an Maßnahmen</w:t>
      </w:r>
      <w:r w:rsidR="009F081C">
        <w:t xml:space="preserve"> mit grenzüberschreitender Wirkung</w:t>
      </w:r>
      <w:r w:rsidRPr="001D5808">
        <w:t xml:space="preserve"> im Zusammenhang mit den überregionalen Zielen und erreichten Umsetzungsständen (z. B. bei den stofflichen Belastungen)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5.1,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7.1 (WFD)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4A7E76">
      <w:pPr>
        <w:pStyle w:val="Kstchen"/>
      </w:pPr>
      <w:r w:rsidRPr="001D5808">
        <w:t xml:space="preserve">Aktualisierung der Wirkungsabschätzungen für Maßnahmen und </w:t>
      </w:r>
      <w:r w:rsidR="006074B9">
        <w:t xml:space="preserve">der </w:t>
      </w:r>
      <w:r w:rsidRPr="001D5808">
        <w:t>Schlussfolgerungen</w:t>
      </w:r>
      <w:r w:rsidR="00B62278">
        <w:t xml:space="preserve"> </w:t>
      </w:r>
      <w:r w:rsidR="00B62278" w:rsidRPr="00B62278">
        <w:rPr>
          <w:spacing w:val="-2"/>
        </w:rPr>
        <w:t>(z. B. Tab. II-5.1.2-1 des 2. i</w:t>
      </w:r>
      <w:r w:rsidRPr="00B62278">
        <w:rPr>
          <w:spacing w:val="-2"/>
        </w:rPr>
        <w:t>nternationalen B</w:t>
      </w:r>
      <w:r w:rsidR="0026003C" w:rsidRPr="00B62278">
        <w:rPr>
          <w:spacing w:val="-2"/>
        </w:rPr>
        <w:t>ewirtschaftungsplans</w:t>
      </w:r>
      <w:r w:rsidRPr="00B62278">
        <w:rPr>
          <w:spacing w:val="-2"/>
        </w:rPr>
        <w:t xml:space="preserve"> zur Reduzierung von Nährstoffeinträgen</w:t>
      </w:r>
      <w:r w:rsidRPr="001D5808">
        <w:t xml:space="preserve"> – siehe auch in Erarbeitung befindliche IKSE-Nährstoffmanagementstrategie)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5.1.2 – </w:t>
      </w:r>
      <w:r w:rsidR="0018298D" w:rsidRPr="001D5808">
        <w:rPr>
          <w:i/>
          <w:sz w:val="20"/>
          <w:szCs w:val="20"/>
          <w:highlight w:val="lightGray"/>
        </w:rPr>
        <w:t>Teil Nährstoffe</w:t>
      </w:r>
      <w:r w:rsidR="0016205D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II-5.1.2-1 (NP);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5.1.2 – </w:t>
      </w:r>
      <w:r w:rsidR="0018298D" w:rsidRPr="001D5808">
        <w:rPr>
          <w:i/>
          <w:sz w:val="20"/>
          <w:szCs w:val="20"/>
          <w:highlight w:val="lightGray"/>
        </w:rPr>
        <w:t>Teil Schadstoffe</w:t>
      </w:r>
      <w:r w:rsidR="0016205D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II-5.2.2-1, </w:t>
      </w:r>
      <w:r w:rsidR="001D5808">
        <w:rPr>
          <w:i/>
          <w:sz w:val="20"/>
          <w:szCs w:val="20"/>
          <w:highlight w:val="lightGray"/>
        </w:rPr>
        <w:br/>
      </w:r>
      <w:r w:rsidR="0016205D" w:rsidRPr="001D5808">
        <w:rPr>
          <w:i/>
          <w:sz w:val="20"/>
          <w:szCs w:val="20"/>
          <w:highlight w:val="lightGray"/>
        </w:rPr>
        <w:t xml:space="preserve">II-5.2.2-2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II-5.2.3-1, II-5.2.3-2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381233" w:rsidP="00171A3C">
      <w:pPr>
        <w:pStyle w:val="Kstchen"/>
      </w:pPr>
      <w:r w:rsidRPr="001D5808">
        <w:t>Herangehen bei der Inanspruchnahme von Ausnahmeregelungen und deren Begründung – Information über methodische Verfahren, Übersichten der Ergebnisse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5.2.1 (WFD, SW, GW);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C6732A" w:rsidRPr="001D5808">
        <w:rPr>
          <w:i/>
          <w:sz w:val="20"/>
          <w:szCs w:val="20"/>
          <w:highlight w:val="lightGray"/>
        </w:rPr>
        <w:t xml:space="preserve"> II-5.2.2-2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C6732A" w:rsidRPr="001D5808">
        <w:rPr>
          <w:i/>
          <w:sz w:val="20"/>
          <w:szCs w:val="20"/>
          <w:highlight w:val="lightGray"/>
        </w:rPr>
        <w:t xml:space="preserve"> II-5.2.3-2 (GW)</w:t>
      </w:r>
      <w:r w:rsidR="00C6732A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171A3C">
      <w:pPr>
        <w:pStyle w:val="Anstrich"/>
      </w:pPr>
      <w:r w:rsidRPr="001D5808">
        <w:t>Sedimentmanagement</w:t>
      </w:r>
    </w:p>
    <w:p w:rsidR="004A7E76" w:rsidRPr="001D5808" w:rsidRDefault="004A7E76" w:rsidP="004A7E76">
      <w:pPr>
        <w:pStyle w:val="Kstchen"/>
      </w:pPr>
      <w:r w:rsidRPr="001D5808">
        <w:t>Schlussfolgerungen</w:t>
      </w:r>
      <w:r w:rsidR="004545D5">
        <w:t xml:space="preserve"> </w:t>
      </w:r>
      <w:r w:rsidRPr="001D5808">
        <w:t>/</w:t>
      </w:r>
      <w:r w:rsidR="004545D5">
        <w:t xml:space="preserve"> </w:t>
      </w:r>
      <w:r w:rsidRPr="001D5808">
        <w:t>Handlungsbedarf aus dem sich in Bearbeitung befindlichen Bericht zum derzeitigen Umsetzungsstand des IKSE-Sedimentmanagementkonzepts für den 3.</w:t>
      </w:r>
      <w:r w:rsidR="00381233" w:rsidRPr="001D5808">
        <w:t> </w:t>
      </w:r>
      <w:r w:rsidR="00B62278">
        <w:t>i</w:t>
      </w:r>
      <w:r w:rsidRPr="001D5808">
        <w:t>nternationalen B</w:t>
      </w:r>
      <w:r w:rsidR="0026003C" w:rsidRPr="001D5808">
        <w:t>ewirtschaftungsplan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(WFD);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5.1.1 – </w:t>
      </w:r>
      <w:r w:rsidR="001D5808" w:rsidRPr="001D5808">
        <w:rPr>
          <w:i/>
          <w:sz w:val="20"/>
          <w:szCs w:val="20"/>
          <w:highlight w:val="lightGray"/>
        </w:rPr>
        <w:t>Teil Verbesserung der Gewässerstruktur</w:t>
      </w:r>
      <w:r w:rsidR="00C6732A" w:rsidRPr="001D5808">
        <w:rPr>
          <w:i/>
          <w:sz w:val="20"/>
          <w:szCs w:val="20"/>
          <w:highlight w:val="lightGray"/>
        </w:rPr>
        <w:t xml:space="preserve"> (WFD, </w:t>
      </w:r>
      <w:r w:rsidR="001D5808" w:rsidRPr="001D5808">
        <w:rPr>
          <w:i/>
          <w:sz w:val="20"/>
          <w:szCs w:val="20"/>
          <w:highlight w:val="lightGray"/>
        </w:rPr>
        <w:t xml:space="preserve">Kontaktpersonen für </w:t>
      </w:r>
      <w:r w:rsidR="00B62278">
        <w:rPr>
          <w:i/>
          <w:sz w:val="20"/>
          <w:szCs w:val="20"/>
          <w:highlight w:val="lightGray"/>
        </w:rPr>
        <w:t xml:space="preserve">das </w:t>
      </w:r>
      <w:r w:rsidR="001D5808" w:rsidRPr="001D5808">
        <w:rPr>
          <w:i/>
          <w:sz w:val="20"/>
          <w:szCs w:val="20"/>
          <w:highlight w:val="lightGray"/>
        </w:rPr>
        <w:t>Sedimentmanagement</w:t>
      </w:r>
      <w:r w:rsidR="00C6732A" w:rsidRPr="001D5808">
        <w:rPr>
          <w:i/>
          <w:sz w:val="20"/>
          <w:szCs w:val="20"/>
          <w:highlight w:val="lightGray"/>
        </w:rPr>
        <w:t xml:space="preserve">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5.1.2 – </w:t>
      </w:r>
      <w:r w:rsidR="001D5808" w:rsidRPr="001D5808">
        <w:rPr>
          <w:i/>
          <w:sz w:val="20"/>
          <w:szCs w:val="20"/>
          <w:highlight w:val="lightGray"/>
        </w:rPr>
        <w:t>Teil Schadstoffe</w:t>
      </w:r>
      <w:r w:rsidR="00C6732A" w:rsidRPr="001D5808">
        <w:rPr>
          <w:i/>
          <w:sz w:val="20"/>
          <w:szCs w:val="20"/>
          <w:highlight w:val="lightGray"/>
        </w:rPr>
        <w:t xml:space="preserve"> (WFD, </w:t>
      </w:r>
      <w:r w:rsidR="001D5808" w:rsidRPr="001D5808">
        <w:rPr>
          <w:i/>
          <w:sz w:val="20"/>
          <w:szCs w:val="20"/>
          <w:highlight w:val="lightGray"/>
        </w:rPr>
        <w:t xml:space="preserve">Kontaktpersonen für </w:t>
      </w:r>
      <w:r w:rsidR="00B62278">
        <w:rPr>
          <w:i/>
          <w:sz w:val="20"/>
          <w:szCs w:val="20"/>
          <w:highlight w:val="lightGray"/>
        </w:rPr>
        <w:t xml:space="preserve">das </w:t>
      </w:r>
      <w:r w:rsidR="001D5808" w:rsidRPr="001D5808">
        <w:rPr>
          <w:i/>
          <w:sz w:val="20"/>
          <w:szCs w:val="20"/>
          <w:highlight w:val="lightGray"/>
        </w:rPr>
        <w:t>Sedimentmanagement</w:t>
      </w:r>
      <w:r w:rsidR="00C6732A" w:rsidRPr="001D5808">
        <w:rPr>
          <w:i/>
          <w:sz w:val="20"/>
          <w:szCs w:val="20"/>
          <w:highlight w:val="lightGray"/>
        </w:rPr>
        <w:t xml:space="preserve">,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SW)</w:t>
      </w:r>
      <w:r w:rsidR="00C6732A" w:rsidRPr="001D5808">
        <w:rPr>
          <w:highlight w:val="lightGray"/>
        </w:rPr>
        <w:t>]</w:t>
      </w:r>
      <w:r w:rsidR="00381233" w:rsidRPr="001D5808">
        <w:t>,</w:t>
      </w:r>
    </w:p>
    <w:p w:rsidR="004A7E76" w:rsidRPr="001D5808" w:rsidRDefault="004A7E76" w:rsidP="00171A3C">
      <w:pPr>
        <w:pStyle w:val="Anstrich"/>
      </w:pPr>
      <w:r w:rsidRPr="001D5808">
        <w:lastRenderedPageBreak/>
        <w:t xml:space="preserve">Thema Wasserknappheit / Dürre / </w:t>
      </w:r>
      <w:r w:rsidR="00B62278">
        <w:t>Klimawandel – Zitat aus dem 2. i</w:t>
      </w:r>
      <w:r w:rsidRPr="001D5808">
        <w:t>nternationalen B</w:t>
      </w:r>
      <w:r w:rsidR="0026003C" w:rsidRPr="001D5808">
        <w:t>ewirtschaftungsplan</w:t>
      </w:r>
      <w:r w:rsidRPr="001D5808">
        <w:t>:</w:t>
      </w:r>
    </w:p>
    <w:p w:rsidR="004A7E76" w:rsidRPr="001D5808" w:rsidRDefault="004A7E76" w:rsidP="004A7E76">
      <w:pPr>
        <w:pStyle w:val="Kstchen"/>
      </w:pPr>
      <w:r w:rsidRPr="001D5808">
        <w:t>„Im Rahmen der Vorbereitung des 3. Bewirtschaftungszeitraums Festlegung von Indikatoren für hydrologische Dürre und ihre Intensität … (Termin: 2016 – 2017).“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</w:t>
      </w:r>
      <w:proofErr w:type="spellStart"/>
      <w:r w:rsidR="00C6732A" w:rsidRPr="001D5808">
        <w:rPr>
          <w:i/>
          <w:sz w:val="20"/>
          <w:szCs w:val="20"/>
          <w:highlight w:val="lightGray"/>
        </w:rPr>
        <w:t>Hy</w:t>
      </w:r>
      <w:proofErr w:type="spellEnd"/>
      <w:r w:rsidR="00C6732A" w:rsidRPr="001D5808">
        <w:rPr>
          <w:i/>
          <w:sz w:val="20"/>
          <w:szCs w:val="20"/>
          <w:highlight w:val="lightGray"/>
        </w:rPr>
        <w:t>, WFD)</w:t>
      </w:r>
      <w:r w:rsidR="00C6732A" w:rsidRPr="001D5808">
        <w:rPr>
          <w:highlight w:val="lightGray"/>
        </w:rPr>
        <w:t>]</w:t>
      </w:r>
    </w:p>
    <w:p w:rsidR="004A7E76" w:rsidRPr="001D5808" w:rsidRDefault="004A7E76" w:rsidP="004A7E76">
      <w:pPr>
        <w:pStyle w:val="Kstchen"/>
      </w:pPr>
      <w:r w:rsidRPr="001D5808">
        <w:t>„Im Rahmen der Vorbereitung auf den 3. Bewirtschaftungszeitraum ist zu entscheiden, ob und ggf. wie die Problematik Wasserknappheit in den dritten Bewirtschaftungsplänen zu bearbeiten ist (Termin: 2016 – 2019).“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(WFD)</w:t>
      </w:r>
      <w:r w:rsidR="00C6732A" w:rsidRPr="001D5808">
        <w:rPr>
          <w:highlight w:val="lightGray"/>
        </w:rPr>
        <w:t>]</w:t>
      </w:r>
    </w:p>
    <w:p w:rsidR="004A7E76" w:rsidRPr="001D5808" w:rsidRDefault="0023026A" w:rsidP="00171A3C">
      <w:pPr>
        <w:pStyle w:val="Anstrich"/>
      </w:pPr>
      <w:r w:rsidRPr="001D5808">
        <w:t>Kartographische Interpret</w:t>
      </w:r>
      <w:r w:rsidR="0026003C" w:rsidRPr="001D5808">
        <w:t>ation</w:t>
      </w:r>
      <w:r w:rsidRPr="001D5808">
        <w:t xml:space="preserve"> der Ergebnisse </w:t>
      </w:r>
      <w:r w:rsidR="00EB4D88" w:rsidRPr="001D5808">
        <w:t>(</w:t>
      </w:r>
      <w:r w:rsidRPr="001D5808">
        <w:t>vor allem der Ergebnisse der Zustandsbewertung</w:t>
      </w:r>
      <w:r w:rsidR="00EB4D88" w:rsidRPr="001D5808">
        <w:t>)</w:t>
      </w:r>
      <w:r w:rsidRPr="001D5808">
        <w:t xml:space="preserve"> – Zusatzkarten (Berücksichtigung der bedeutenden methodischen Unterschiede), ihre Gestaltung (geeignete Interpretation der erreichten Fortschritte) diskutieren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C6732A" w:rsidRPr="001D5808">
        <w:rPr>
          <w:i/>
          <w:sz w:val="20"/>
          <w:szCs w:val="20"/>
          <w:highlight w:val="lightGray"/>
        </w:rPr>
        <w:t xml:space="preserve"> 1.3, 4.1, 4.2, 4.3, 4.3.1, 5.1, 5.2 </w:t>
      </w:r>
      <w:r w:rsidR="001D5808" w:rsidRPr="001D5808">
        <w:rPr>
          <w:i/>
          <w:sz w:val="20"/>
          <w:szCs w:val="20"/>
          <w:highlight w:val="lightGray"/>
        </w:rPr>
        <w:t>und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n</w:t>
      </w:r>
      <w:r w:rsidR="001D5808" w:rsidRPr="001D5808">
        <w:rPr>
          <w:i/>
          <w:sz w:val="20"/>
          <w:szCs w:val="20"/>
          <w:highlight w:val="lightGray"/>
        </w:rPr>
        <w:t>eue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Zusatzk</w:t>
      </w:r>
      <w:r w:rsidR="0018298D" w:rsidRPr="001D5808">
        <w:rPr>
          <w:i/>
          <w:sz w:val="20"/>
          <w:szCs w:val="20"/>
          <w:highlight w:val="lightGray"/>
        </w:rPr>
        <w:t>arten</w:t>
      </w:r>
      <w:r w:rsidR="00C6732A" w:rsidRPr="001D5808">
        <w:rPr>
          <w:i/>
          <w:sz w:val="20"/>
          <w:szCs w:val="20"/>
          <w:highlight w:val="lightGray"/>
        </w:rPr>
        <w:t xml:space="preserve"> (SW, DATA);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C6732A" w:rsidRPr="001D5808">
        <w:rPr>
          <w:i/>
          <w:sz w:val="20"/>
          <w:szCs w:val="20"/>
          <w:highlight w:val="lightGray"/>
        </w:rPr>
        <w:t xml:space="preserve"> 1.4, 4.4, 4.5, 4.6, 4.6.1, 4.7, 4.7.1, 5.3, 5.4 </w:t>
      </w:r>
      <w:r w:rsidR="001D5808" w:rsidRPr="001D5808">
        <w:rPr>
          <w:i/>
          <w:sz w:val="20"/>
          <w:szCs w:val="20"/>
          <w:highlight w:val="lightGray"/>
        </w:rPr>
        <w:t>und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n</w:t>
      </w:r>
      <w:r w:rsidR="001D5808" w:rsidRPr="001D5808">
        <w:rPr>
          <w:i/>
          <w:sz w:val="20"/>
          <w:szCs w:val="20"/>
          <w:highlight w:val="lightGray"/>
        </w:rPr>
        <w:t>eue Zusatzk</w:t>
      </w:r>
      <w:r w:rsidR="0018298D" w:rsidRPr="001D5808">
        <w:rPr>
          <w:i/>
          <w:sz w:val="20"/>
          <w:szCs w:val="20"/>
          <w:highlight w:val="lightGray"/>
        </w:rPr>
        <w:t>arten</w:t>
      </w:r>
      <w:r w:rsidR="00C6732A" w:rsidRPr="001D5808">
        <w:rPr>
          <w:i/>
          <w:sz w:val="20"/>
          <w:szCs w:val="20"/>
          <w:highlight w:val="lightGray"/>
        </w:rPr>
        <w:t xml:space="preserve"> (GW, DATA)</w:t>
      </w:r>
      <w:r w:rsidR="00C6732A" w:rsidRPr="001D5808">
        <w:rPr>
          <w:highlight w:val="lightGray"/>
        </w:rPr>
        <w:t>]</w:t>
      </w:r>
      <w:r w:rsidRPr="001D5808">
        <w:t>,</w:t>
      </w:r>
    </w:p>
    <w:p w:rsidR="004A7E76" w:rsidRPr="001D5808" w:rsidRDefault="0023026A" w:rsidP="00D41549">
      <w:pPr>
        <w:pStyle w:val="Anstrich"/>
      </w:pPr>
      <w:r w:rsidRPr="001D5808">
        <w:t xml:space="preserve">Neues Datenmodell </w:t>
      </w:r>
      <w:proofErr w:type="gramStart"/>
      <w:r w:rsidRPr="001D5808">
        <w:t xml:space="preserve">des </w:t>
      </w:r>
      <w:proofErr w:type="spellStart"/>
      <w:r w:rsidRPr="001D5808">
        <w:t>WasserBLIcK</w:t>
      </w:r>
      <w:proofErr w:type="spellEnd"/>
      <w:proofErr w:type="gramEnd"/>
      <w:r w:rsidRPr="001D5808">
        <w:t xml:space="preserve"> (Vorstellen für die tschechische Seite), Umfang und Format der bereitzustellenden Daten vereinbaren (auszugehen ist von den </w:t>
      </w:r>
      <w:proofErr w:type="spellStart"/>
      <w:r w:rsidRPr="001D5808">
        <w:t>Reportingdaten</w:t>
      </w:r>
      <w:proofErr w:type="spellEnd"/>
      <w:r w:rsidR="00171A3C" w:rsidRPr="001D5808">
        <w:t xml:space="preserve"> im </w:t>
      </w:r>
      <w:r w:rsidR="00D05EFE" w:rsidRPr="001D5808">
        <w:t>WISE-Format</w:t>
      </w:r>
      <w:r w:rsidR="00171A3C" w:rsidRPr="001D5808">
        <w:t>)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C6732A" w:rsidRPr="001D5808">
        <w:rPr>
          <w:i/>
          <w:sz w:val="20"/>
          <w:szCs w:val="20"/>
          <w:highlight w:val="lightGray"/>
        </w:rPr>
        <w:t>(DATA)</w:t>
      </w:r>
      <w:r w:rsidR="00C6732A" w:rsidRPr="001D5808">
        <w:rPr>
          <w:highlight w:val="lightGray"/>
        </w:rPr>
        <w:t>]</w:t>
      </w:r>
      <w:r w:rsidR="00171A3C" w:rsidRPr="001D5808">
        <w:t>.</w:t>
      </w:r>
    </w:p>
    <w:p w:rsidR="00446BEB" w:rsidRPr="001D5808" w:rsidRDefault="00446BEB" w:rsidP="00446BEB"/>
    <w:sectPr w:rsidR="00446BEB" w:rsidRPr="001D5808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EE6" w:rsidRDefault="00520EE6" w:rsidP="00666392">
      <w:r>
        <w:separator/>
      </w:r>
    </w:p>
  </w:endnote>
  <w:endnote w:type="continuationSeparator" w:id="0">
    <w:p w:rsidR="00520EE6" w:rsidRDefault="00520EE6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666392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B856F0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B856F0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B856F0">
      <w:rPr>
        <w:noProof/>
        <w:sz w:val="14"/>
        <w:szCs w:val="14"/>
      </w:rPr>
      <w:t>K:\AG\WFD\WFD44\D\Ergebnisvermerk\Anlagen\IKSE-WFD44 Anl_06_EV Schwerpunktthemen Bewirtschaftungsplanung.docx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B053CB" w:rsidP="00666392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 w:rsidR="00B856F0">
      <w:fldChar w:fldCharType="begin"/>
    </w:r>
    <w:r w:rsidR="00B856F0">
      <w:instrText xml:space="preserve"> NUMPAGES </w:instrText>
    </w:r>
    <w:r w:rsidR="00B856F0">
      <w:fldChar w:fldCharType="separate"/>
    </w:r>
    <w:r w:rsidR="00B62278">
      <w:rPr>
        <w:noProof/>
      </w:rPr>
      <w:t>2</w:t>
    </w:r>
    <w:r w:rsidR="00B856F0">
      <w:rPr>
        <w:noProof/>
      </w:rPr>
      <w:fldChar w:fldCharType="end"/>
    </w:r>
    <w:r>
      <w:tab/>
    </w:r>
    <w:r w:rsidR="00B856F0">
      <w:fldChar w:fldCharType="begin"/>
    </w:r>
    <w:r w:rsidR="00B856F0">
      <w:instrText xml:space="preserve"> FILENAME \p </w:instrText>
    </w:r>
    <w:r w:rsidR="00B856F0">
      <w:fldChar w:fldCharType="separate"/>
    </w:r>
    <w:r w:rsidR="00B62278">
      <w:rPr>
        <w:noProof/>
      </w:rPr>
      <w:t>K:\AG\WFD\WFD44\D\Vorlagen\IKSE-WFD44_17-4.1-1 Schwerpunktthemen Bewirtschaftungsplanung.docx</w:t>
    </w:r>
    <w:r w:rsidR="00B856F0">
      <w:rPr>
        <w:noProof/>
      </w:rPr>
      <w:fldChar w:fldCharType="end"/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EE6" w:rsidRDefault="00520EE6" w:rsidP="00666392">
      <w:r>
        <w:separator/>
      </w:r>
    </w:p>
  </w:footnote>
  <w:footnote w:type="continuationSeparator" w:id="0">
    <w:p w:rsidR="00520EE6" w:rsidRDefault="00520EE6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B37292" w:rsidRDefault="00F10CCE" w:rsidP="00A24FAE">
    <w:pPr>
      <w:pStyle w:val="Kopfzeile"/>
      <w:rPr>
        <w:sz w:val="20"/>
        <w:szCs w:val="20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046D21">
      <w:tab/>
    </w:r>
    <w:r w:rsidR="001A281E">
      <w:rPr>
        <w:sz w:val="20"/>
        <w:szCs w:val="20"/>
      </w:rPr>
      <w:t xml:space="preserve">Anlage </w:t>
    </w:r>
    <w:r w:rsidR="00B856F0">
      <w:rPr>
        <w:sz w:val="20"/>
        <w:szCs w:val="20"/>
      </w:rPr>
      <w:t>6</w:t>
    </w:r>
  </w:p>
  <w:p w:rsidR="00B053CB" w:rsidRPr="00D51A8D" w:rsidRDefault="00B946EE" w:rsidP="00A24FAE">
    <w:pPr>
      <w:pStyle w:val="Kopfzeile"/>
    </w:pPr>
    <w:r>
      <w:t>Arbeitsgruppe WFD</w:t>
    </w:r>
    <w:r w:rsidR="00B053CB" w:rsidRPr="003532C3">
      <w:tab/>
    </w:r>
    <w:r w:rsidR="001A281E">
      <w:t>zu</w:t>
    </w:r>
    <w:r w:rsidR="00B856F0">
      <w:t>m Ergebnisvermerk über die 44. Beratung</w:t>
    </w:r>
  </w:p>
  <w:p w:rsidR="00B053CB" w:rsidRPr="00D51A8D" w:rsidRDefault="00B053CB" w:rsidP="00666392">
    <w:pPr>
      <w:pStyle w:val="Kopfzeile"/>
      <w:pBdr>
        <w:top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10CCE" w:rsidP="00666392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</w:r>
    <w:proofErr w:type="spellStart"/>
    <w:r w:rsidR="00B053CB">
      <w:t>Návrh</w:t>
    </w:r>
    <w:proofErr w:type="spellEnd"/>
    <w:r w:rsidR="00B053CB">
      <w:t xml:space="preserve">, </w:t>
    </w:r>
    <w:proofErr w:type="spellStart"/>
    <w:r w:rsidR="00B053CB">
      <w:t>stav</w:t>
    </w:r>
    <w:proofErr w:type="spellEnd"/>
    <w:r w:rsidR="00B053CB">
      <w:t xml:space="preserve">: </w:t>
    </w:r>
  </w:p>
  <w:p w:rsidR="00B053CB" w:rsidRDefault="00B053CB" w:rsidP="00666392">
    <w:pPr>
      <w:pStyle w:val="Kopfzeile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DB4F53"/>
    <w:multiLevelType w:val="multilevel"/>
    <w:tmpl w:val="79EE1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F20016"/>
    <w:multiLevelType w:val="hybridMultilevel"/>
    <w:tmpl w:val="01D6E5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90668"/>
    <w:multiLevelType w:val="hybridMultilevel"/>
    <w:tmpl w:val="FB3A98D4"/>
    <w:lvl w:ilvl="0" w:tplc="71204BE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51A43AC"/>
    <w:multiLevelType w:val="hybridMultilevel"/>
    <w:tmpl w:val="DAD6CF6E"/>
    <w:lvl w:ilvl="0" w:tplc="6DC0C58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20C26"/>
    <w:multiLevelType w:val="hybridMultilevel"/>
    <w:tmpl w:val="55D67C82"/>
    <w:lvl w:ilvl="0" w:tplc="86201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1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556CC"/>
    <w:multiLevelType w:val="multilevel"/>
    <w:tmpl w:val="863AE2E8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 w15:restartNumberingAfterBreak="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2F5C"/>
    <w:multiLevelType w:val="hybridMultilevel"/>
    <w:tmpl w:val="AA96C3F2"/>
    <w:lvl w:ilvl="0" w:tplc="297AA7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C63B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2"/>
  </w:num>
  <w:num w:numId="4">
    <w:abstractNumId w:val="13"/>
  </w:num>
  <w:num w:numId="5">
    <w:abstractNumId w:val="0"/>
  </w:num>
  <w:num w:numId="6">
    <w:abstractNumId w:val="21"/>
  </w:num>
  <w:num w:numId="7">
    <w:abstractNumId w:val="16"/>
  </w:num>
  <w:num w:numId="8">
    <w:abstractNumId w:val="11"/>
  </w:num>
  <w:num w:numId="9">
    <w:abstractNumId w:val="7"/>
  </w:num>
  <w:num w:numId="10">
    <w:abstractNumId w:val="17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6"/>
  </w:num>
  <w:num w:numId="17">
    <w:abstractNumId w:val="5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0"/>
  </w:num>
  <w:num w:numId="30">
    <w:abstractNumId w:val="15"/>
  </w:num>
  <w:num w:numId="31">
    <w:abstractNumId w:val="7"/>
  </w:num>
  <w:num w:numId="32">
    <w:abstractNumId w:val="24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23"/>
  </w:num>
  <w:num w:numId="38">
    <w:abstractNumId w:val="2"/>
  </w:num>
  <w:num w:numId="39">
    <w:abstractNumId w:val="21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3"/>
  </w:num>
  <w:num w:numId="45">
    <w:abstractNumId w:val="4"/>
  </w:num>
  <w:num w:numId="46">
    <w:abstractNumId w:val="18"/>
  </w:num>
  <w:num w:numId="47">
    <w:abstractNumId w:val="9"/>
  </w:num>
  <w:num w:numId="48">
    <w:abstractNumId w:val="19"/>
  </w:num>
  <w:num w:numId="49">
    <w:abstractNumId w:val="1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1F"/>
    <w:rsid w:val="0000388F"/>
    <w:rsid w:val="00010170"/>
    <w:rsid w:val="000208CF"/>
    <w:rsid w:val="000256BB"/>
    <w:rsid w:val="00030688"/>
    <w:rsid w:val="000332F1"/>
    <w:rsid w:val="0003756C"/>
    <w:rsid w:val="000400CF"/>
    <w:rsid w:val="00046D21"/>
    <w:rsid w:val="000515F3"/>
    <w:rsid w:val="0005279A"/>
    <w:rsid w:val="00052987"/>
    <w:rsid w:val="000608C1"/>
    <w:rsid w:val="00061FCE"/>
    <w:rsid w:val="000620A0"/>
    <w:rsid w:val="00063975"/>
    <w:rsid w:val="00072F08"/>
    <w:rsid w:val="00073141"/>
    <w:rsid w:val="00074170"/>
    <w:rsid w:val="00074419"/>
    <w:rsid w:val="00076A2D"/>
    <w:rsid w:val="0008080F"/>
    <w:rsid w:val="00083362"/>
    <w:rsid w:val="00096F11"/>
    <w:rsid w:val="000A62EF"/>
    <w:rsid w:val="000A6690"/>
    <w:rsid w:val="000A71F3"/>
    <w:rsid w:val="000B09DF"/>
    <w:rsid w:val="000B197C"/>
    <w:rsid w:val="000B39F3"/>
    <w:rsid w:val="000B513A"/>
    <w:rsid w:val="000B67D0"/>
    <w:rsid w:val="000C18FC"/>
    <w:rsid w:val="000C299A"/>
    <w:rsid w:val="000C4BD3"/>
    <w:rsid w:val="000C567F"/>
    <w:rsid w:val="000C7D23"/>
    <w:rsid w:val="000D102D"/>
    <w:rsid w:val="000D14A8"/>
    <w:rsid w:val="000D2ECF"/>
    <w:rsid w:val="000E1A80"/>
    <w:rsid w:val="000F026B"/>
    <w:rsid w:val="000F5D81"/>
    <w:rsid w:val="00101312"/>
    <w:rsid w:val="00102478"/>
    <w:rsid w:val="00104AE8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42F9B"/>
    <w:rsid w:val="00154A50"/>
    <w:rsid w:val="001572E0"/>
    <w:rsid w:val="00160759"/>
    <w:rsid w:val="0016205D"/>
    <w:rsid w:val="001656FC"/>
    <w:rsid w:val="00171A3C"/>
    <w:rsid w:val="00181FF3"/>
    <w:rsid w:val="0018298D"/>
    <w:rsid w:val="00182B7D"/>
    <w:rsid w:val="0018353C"/>
    <w:rsid w:val="00192489"/>
    <w:rsid w:val="00193F0D"/>
    <w:rsid w:val="00195D84"/>
    <w:rsid w:val="001969ED"/>
    <w:rsid w:val="001A0373"/>
    <w:rsid w:val="001A09E1"/>
    <w:rsid w:val="001A281E"/>
    <w:rsid w:val="001A2BB6"/>
    <w:rsid w:val="001A3BFB"/>
    <w:rsid w:val="001A4899"/>
    <w:rsid w:val="001A5B2C"/>
    <w:rsid w:val="001A7086"/>
    <w:rsid w:val="001B2021"/>
    <w:rsid w:val="001B257D"/>
    <w:rsid w:val="001B6C84"/>
    <w:rsid w:val="001C0AA8"/>
    <w:rsid w:val="001C2367"/>
    <w:rsid w:val="001C2707"/>
    <w:rsid w:val="001C309F"/>
    <w:rsid w:val="001C3B94"/>
    <w:rsid w:val="001D0EB6"/>
    <w:rsid w:val="001D44A7"/>
    <w:rsid w:val="001D57FA"/>
    <w:rsid w:val="001D5808"/>
    <w:rsid w:val="001D5C86"/>
    <w:rsid w:val="001D6DBB"/>
    <w:rsid w:val="001E0C9B"/>
    <w:rsid w:val="001E177A"/>
    <w:rsid w:val="001E3178"/>
    <w:rsid w:val="001E37C1"/>
    <w:rsid w:val="001F06C3"/>
    <w:rsid w:val="001F1BB8"/>
    <w:rsid w:val="001F1C12"/>
    <w:rsid w:val="00203C75"/>
    <w:rsid w:val="0020460C"/>
    <w:rsid w:val="002129B1"/>
    <w:rsid w:val="00217970"/>
    <w:rsid w:val="00223A29"/>
    <w:rsid w:val="0022400A"/>
    <w:rsid w:val="0022570F"/>
    <w:rsid w:val="00226D55"/>
    <w:rsid w:val="0022714D"/>
    <w:rsid w:val="0022767F"/>
    <w:rsid w:val="0023026A"/>
    <w:rsid w:val="00235D05"/>
    <w:rsid w:val="00243BBC"/>
    <w:rsid w:val="00250261"/>
    <w:rsid w:val="002508F2"/>
    <w:rsid w:val="002538B2"/>
    <w:rsid w:val="002546C7"/>
    <w:rsid w:val="00256861"/>
    <w:rsid w:val="0026003C"/>
    <w:rsid w:val="00265A95"/>
    <w:rsid w:val="00271A22"/>
    <w:rsid w:val="002723D1"/>
    <w:rsid w:val="00273C5C"/>
    <w:rsid w:val="0027729A"/>
    <w:rsid w:val="002816A8"/>
    <w:rsid w:val="002928A0"/>
    <w:rsid w:val="00297095"/>
    <w:rsid w:val="002A2858"/>
    <w:rsid w:val="002B113A"/>
    <w:rsid w:val="002B3AA3"/>
    <w:rsid w:val="002B4DE6"/>
    <w:rsid w:val="002C133B"/>
    <w:rsid w:val="002C15C2"/>
    <w:rsid w:val="002D08BB"/>
    <w:rsid w:val="002D4045"/>
    <w:rsid w:val="002D6522"/>
    <w:rsid w:val="002D6A72"/>
    <w:rsid w:val="002E3390"/>
    <w:rsid w:val="002E61A5"/>
    <w:rsid w:val="002F3B36"/>
    <w:rsid w:val="002F3F7C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CF1"/>
    <w:rsid w:val="003324F2"/>
    <w:rsid w:val="00337AEA"/>
    <w:rsid w:val="00340A3B"/>
    <w:rsid w:val="00342EF9"/>
    <w:rsid w:val="0034794D"/>
    <w:rsid w:val="0035037D"/>
    <w:rsid w:val="003532C3"/>
    <w:rsid w:val="00356355"/>
    <w:rsid w:val="0036098E"/>
    <w:rsid w:val="0036476E"/>
    <w:rsid w:val="00366A38"/>
    <w:rsid w:val="003702D1"/>
    <w:rsid w:val="00375ED8"/>
    <w:rsid w:val="00381233"/>
    <w:rsid w:val="0038159C"/>
    <w:rsid w:val="00396025"/>
    <w:rsid w:val="003A5A12"/>
    <w:rsid w:val="003A707E"/>
    <w:rsid w:val="003B16C0"/>
    <w:rsid w:val="003B264A"/>
    <w:rsid w:val="003C1572"/>
    <w:rsid w:val="003D0F2A"/>
    <w:rsid w:val="003D5498"/>
    <w:rsid w:val="003D5BE5"/>
    <w:rsid w:val="003D77A8"/>
    <w:rsid w:val="003D7987"/>
    <w:rsid w:val="003E3AD7"/>
    <w:rsid w:val="003E5CCE"/>
    <w:rsid w:val="003E7F4F"/>
    <w:rsid w:val="003F0B73"/>
    <w:rsid w:val="003F1B99"/>
    <w:rsid w:val="003F566D"/>
    <w:rsid w:val="003F5809"/>
    <w:rsid w:val="003F6859"/>
    <w:rsid w:val="004011C0"/>
    <w:rsid w:val="0040777B"/>
    <w:rsid w:val="00411923"/>
    <w:rsid w:val="00411EAF"/>
    <w:rsid w:val="00416E14"/>
    <w:rsid w:val="00423E6C"/>
    <w:rsid w:val="004268E7"/>
    <w:rsid w:val="0043274E"/>
    <w:rsid w:val="00442D01"/>
    <w:rsid w:val="00444B68"/>
    <w:rsid w:val="00446BEB"/>
    <w:rsid w:val="00447CBB"/>
    <w:rsid w:val="00454526"/>
    <w:rsid w:val="004545D5"/>
    <w:rsid w:val="00463326"/>
    <w:rsid w:val="0047413F"/>
    <w:rsid w:val="00483983"/>
    <w:rsid w:val="00483B44"/>
    <w:rsid w:val="00492AAC"/>
    <w:rsid w:val="0049331D"/>
    <w:rsid w:val="00495A2F"/>
    <w:rsid w:val="004A0CBF"/>
    <w:rsid w:val="004A4136"/>
    <w:rsid w:val="004A7E76"/>
    <w:rsid w:val="004B01D2"/>
    <w:rsid w:val="004B0F99"/>
    <w:rsid w:val="004B11F2"/>
    <w:rsid w:val="004B1F9A"/>
    <w:rsid w:val="004B23AC"/>
    <w:rsid w:val="004C242B"/>
    <w:rsid w:val="004C4D58"/>
    <w:rsid w:val="004C4E05"/>
    <w:rsid w:val="004C605B"/>
    <w:rsid w:val="004C6237"/>
    <w:rsid w:val="004C77D2"/>
    <w:rsid w:val="004D6487"/>
    <w:rsid w:val="004E1901"/>
    <w:rsid w:val="004E2A43"/>
    <w:rsid w:val="004E2FC3"/>
    <w:rsid w:val="004E4097"/>
    <w:rsid w:val="004E63AE"/>
    <w:rsid w:val="004F0172"/>
    <w:rsid w:val="004F71A8"/>
    <w:rsid w:val="00503E9A"/>
    <w:rsid w:val="00505C13"/>
    <w:rsid w:val="005063C4"/>
    <w:rsid w:val="00515F96"/>
    <w:rsid w:val="00517294"/>
    <w:rsid w:val="00517360"/>
    <w:rsid w:val="00520EE6"/>
    <w:rsid w:val="00523745"/>
    <w:rsid w:val="0052728A"/>
    <w:rsid w:val="00534AB6"/>
    <w:rsid w:val="00534DB4"/>
    <w:rsid w:val="005373F8"/>
    <w:rsid w:val="00540963"/>
    <w:rsid w:val="005435DE"/>
    <w:rsid w:val="0054513B"/>
    <w:rsid w:val="005536E7"/>
    <w:rsid w:val="00553748"/>
    <w:rsid w:val="005601F9"/>
    <w:rsid w:val="00566F7E"/>
    <w:rsid w:val="00574C23"/>
    <w:rsid w:val="00580287"/>
    <w:rsid w:val="00581863"/>
    <w:rsid w:val="0058451F"/>
    <w:rsid w:val="00584BFE"/>
    <w:rsid w:val="00585C31"/>
    <w:rsid w:val="005868E6"/>
    <w:rsid w:val="00594295"/>
    <w:rsid w:val="005A0B06"/>
    <w:rsid w:val="005A142E"/>
    <w:rsid w:val="005A2C39"/>
    <w:rsid w:val="005A485E"/>
    <w:rsid w:val="005A6ADB"/>
    <w:rsid w:val="005A7C61"/>
    <w:rsid w:val="005B0D3F"/>
    <w:rsid w:val="005B284A"/>
    <w:rsid w:val="005D33F1"/>
    <w:rsid w:val="005D5107"/>
    <w:rsid w:val="005D5A92"/>
    <w:rsid w:val="005D5D8A"/>
    <w:rsid w:val="005D73AA"/>
    <w:rsid w:val="005E18AE"/>
    <w:rsid w:val="005E701C"/>
    <w:rsid w:val="005E7662"/>
    <w:rsid w:val="005F5368"/>
    <w:rsid w:val="005F6434"/>
    <w:rsid w:val="00604C07"/>
    <w:rsid w:val="00604D0D"/>
    <w:rsid w:val="00606F45"/>
    <w:rsid w:val="006074B9"/>
    <w:rsid w:val="00610BFE"/>
    <w:rsid w:val="006110B4"/>
    <w:rsid w:val="00611E98"/>
    <w:rsid w:val="00623FA2"/>
    <w:rsid w:val="006246D0"/>
    <w:rsid w:val="00632B96"/>
    <w:rsid w:val="00636B90"/>
    <w:rsid w:val="00644534"/>
    <w:rsid w:val="00654B1F"/>
    <w:rsid w:val="00656419"/>
    <w:rsid w:val="0066284A"/>
    <w:rsid w:val="00663C65"/>
    <w:rsid w:val="00666392"/>
    <w:rsid w:val="00667E0F"/>
    <w:rsid w:val="0067508E"/>
    <w:rsid w:val="006776F8"/>
    <w:rsid w:val="00683F75"/>
    <w:rsid w:val="00692F12"/>
    <w:rsid w:val="00696C10"/>
    <w:rsid w:val="006A195A"/>
    <w:rsid w:val="006A2095"/>
    <w:rsid w:val="006A654E"/>
    <w:rsid w:val="006B2580"/>
    <w:rsid w:val="006B2DBE"/>
    <w:rsid w:val="006B4372"/>
    <w:rsid w:val="006C6EBB"/>
    <w:rsid w:val="006D0D44"/>
    <w:rsid w:val="006D0FB0"/>
    <w:rsid w:val="006D1F54"/>
    <w:rsid w:val="006D2080"/>
    <w:rsid w:val="006D20D8"/>
    <w:rsid w:val="006D6AF5"/>
    <w:rsid w:val="006D6EB4"/>
    <w:rsid w:val="006E596A"/>
    <w:rsid w:val="006F22D2"/>
    <w:rsid w:val="00701870"/>
    <w:rsid w:val="007018A0"/>
    <w:rsid w:val="0070476B"/>
    <w:rsid w:val="007051CA"/>
    <w:rsid w:val="00705A83"/>
    <w:rsid w:val="007078BE"/>
    <w:rsid w:val="00714ED3"/>
    <w:rsid w:val="007170BC"/>
    <w:rsid w:val="00717BBD"/>
    <w:rsid w:val="00720E9F"/>
    <w:rsid w:val="00721D7D"/>
    <w:rsid w:val="00721DBC"/>
    <w:rsid w:val="007227F4"/>
    <w:rsid w:val="007259E6"/>
    <w:rsid w:val="00725CF3"/>
    <w:rsid w:val="007262CD"/>
    <w:rsid w:val="0073145E"/>
    <w:rsid w:val="007338E9"/>
    <w:rsid w:val="00735496"/>
    <w:rsid w:val="00750C3E"/>
    <w:rsid w:val="00752EFC"/>
    <w:rsid w:val="007541FA"/>
    <w:rsid w:val="007548D1"/>
    <w:rsid w:val="007563A8"/>
    <w:rsid w:val="0075646E"/>
    <w:rsid w:val="0076337E"/>
    <w:rsid w:val="007633C9"/>
    <w:rsid w:val="00763D3B"/>
    <w:rsid w:val="00764A88"/>
    <w:rsid w:val="00766F3C"/>
    <w:rsid w:val="007759CF"/>
    <w:rsid w:val="00776CC4"/>
    <w:rsid w:val="00777213"/>
    <w:rsid w:val="00781D06"/>
    <w:rsid w:val="007829FA"/>
    <w:rsid w:val="007838FE"/>
    <w:rsid w:val="007845FD"/>
    <w:rsid w:val="00784ED1"/>
    <w:rsid w:val="0078562A"/>
    <w:rsid w:val="0078589F"/>
    <w:rsid w:val="00787680"/>
    <w:rsid w:val="007919BA"/>
    <w:rsid w:val="00791F0E"/>
    <w:rsid w:val="0079285F"/>
    <w:rsid w:val="00793F90"/>
    <w:rsid w:val="007951F7"/>
    <w:rsid w:val="00795FE1"/>
    <w:rsid w:val="007A0781"/>
    <w:rsid w:val="007A1500"/>
    <w:rsid w:val="007A2831"/>
    <w:rsid w:val="007A2961"/>
    <w:rsid w:val="007B0C5E"/>
    <w:rsid w:val="007B318D"/>
    <w:rsid w:val="007B54A3"/>
    <w:rsid w:val="007B6B50"/>
    <w:rsid w:val="007B7821"/>
    <w:rsid w:val="007C7A53"/>
    <w:rsid w:val="007D0BEE"/>
    <w:rsid w:val="007D246E"/>
    <w:rsid w:val="007D2E3C"/>
    <w:rsid w:val="007D6350"/>
    <w:rsid w:val="007E02E9"/>
    <w:rsid w:val="007E0550"/>
    <w:rsid w:val="007E242B"/>
    <w:rsid w:val="007F146B"/>
    <w:rsid w:val="007F31CC"/>
    <w:rsid w:val="007F5EE1"/>
    <w:rsid w:val="007F7037"/>
    <w:rsid w:val="008005C7"/>
    <w:rsid w:val="00801BD5"/>
    <w:rsid w:val="008067EB"/>
    <w:rsid w:val="008173D2"/>
    <w:rsid w:val="008179BF"/>
    <w:rsid w:val="00820ABC"/>
    <w:rsid w:val="008213EB"/>
    <w:rsid w:val="008233E1"/>
    <w:rsid w:val="008375BB"/>
    <w:rsid w:val="00842907"/>
    <w:rsid w:val="008511A6"/>
    <w:rsid w:val="00852D9E"/>
    <w:rsid w:val="0085302C"/>
    <w:rsid w:val="00857549"/>
    <w:rsid w:val="00860CE5"/>
    <w:rsid w:val="00863F31"/>
    <w:rsid w:val="0087132B"/>
    <w:rsid w:val="0087254E"/>
    <w:rsid w:val="0087536D"/>
    <w:rsid w:val="00875D61"/>
    <w:rsid w:val="00881479"/>
    <w:rsid w:val="0088279D"/>
    <w:rsid w:val="0089275B"/>
    <w:rsid w:val="00894374"/>
    <w:rsid w:val="0089466F"/>
    <w:rsid w:val="008973BB"/>
    <w:rsid w:val="008A4DDE"/>
    <w:rsid w:val="008A58CD"/>
    <w:rsid w:val="008A69CB"/>
    <w:rsid w:val="008A6A88"/>
    <w:rsid w:val="008B01D4"/>
    <w:rsid w:val="008B1172"/>
    <w:rsid w:val="008B7029"/>
    <w:rsid w:val="008C23D4"/>
    <w:rsid w:val="008C65CB"/>
    <w:rsid w:val="008D1AE9"/>
    <w:rsid w:val="008D2999"/>
    <w:rsid w:val="008D4335"/>
    <w:rsid w:val="008D452C"/>
    <w:rsid w:val="008D75C5"/>
    <w:rsid w:val="008E0814"/>
    <w:rsid w:val="008E1345"/>
    <w:rsid w:val="008E1EE9"/>
    <w:rsid w:val="008E3821"/>
    <w:rsid w:val="008E40BD"/>
    <w:rsid w:val="008E4CFB"/>
    <w:rsid w:val="008E519F"/>
    <w:rsid w:val="008E5A98"/>
    <w:rsid w:val="008F34F2"/>
    <w:rsid w:val="0090445F"/>
    <w:rsid w:val="009071AE"/>
    <w:rsid w:val="009104E2"/>
    <w:rsid w:val="00911B21"/>
    <w:rsid w:val="00913F2E"/>
    <w:rsid w:val="00914258"/>
    <w:rsid w:val="00914955"/>
    <w:rsid w:val="009215CD"/>
    <w:rsid w:val="00924154"/>
    <w:rsid w:val="00927E87"/>
    <w:rsid w:val="00931CF7"/>
    <w:rsid w:val="00932B84"/>
    <w:rsid w:val="00933E84"/>
    <w:rsid w:val="00935D1F"/>
    <w:rsid w:val="00943143"/>
    <w:rsid w:val="0095283B"/>
    <w:rsid w:val="00954868"/>
    <w:rsid w:val="00955C87"/>
    <w:rsid w:val="00956521"/>
    <w:rsid w:val="00960D44"/>
    <w:rsid w:val="009611D5"/>
    <w:rsid w:val="00962939"/>
    <w:rsid w:val="00965E6B"/>
    <w:rsid w:val="00966252"/>
    <w:rsid w:val="009716EF"/>
    <w:rsid w:val="00971B36"/>
    <w:rsid w:val="00973B16"/>
    <w:rsid w:val="00974D53"/>
    <w:rsid w:val="00983075"/>
    <w:rsid w:val="00983C40"/>
    <w:rsid w:val="009868A2"/>
    <w:rsid w:val="0099241B"/>
    <w:rsid w:val="009938BB"/>
    <w:rsid w:val="009A2286"/>
    <w:rsid w:val="009A48F4"/>
    <w:rsid w:val="009A5BB7"/>
    <w:rsid w:val="009A6019"/>
    <w:rsid w:val="009A71CC"/>
    <w:rsid w:val="009B0BE2"/>
    <w:rsid w:val="009B436B"/>
    <w:rsid w:val="009B78BE"/>
    <w:rsid w:val="009C1B2D"/>
    <w:rsid w:val="009C4074"/>
    <w:rsid w:val="009C788E"/>
    <w:rsid w:val="009D091B"/>
    <w:rsid w:val="009D19AC"/>
    <w:rsid w:val="009D6BB2"/>
    <w:rsid w:val="009E0693"/>
    <w:rsid w:val="009E2DCC"/>
    <w:rsid w:val="009E6234"/>
    <w:rsid w:val="009F081C"/>
    <w:rsid w:val="009F5B7F"/>
    <w:rsid w:val="009F6A87"/>
    <w:rsid w:val="00A0031C"/>
    <w:rsid w:val="00A00C3A"/>
    <w:rsid w:val="00A06EF3"/>
    <w:rsid w:val="00A070E4"/>
    <w:rsid w:val="00A100F8"/>
    <w:rsid w:val="00A129B2"/>
    <w:rsid w:val="00A14A74"/>
    <w:rsid w:val="00A217FA"/>
    <w:rsid w:val="00A2419B"/>
    <w:rsid w:val="00A24FAE"/>
    <w:rsid w:val="00A27189"/>
    <w:rsid w:val="00A272AC"/>
    <w:rsid w:val="00A27930"/>
    <w:rsid w:val="00A357EB"/>
    <w:rsid w:val="00A41FA9"/>
    <w:rsid w:val="00A42CDA"/>
    <w:rsid w:val="00A50F6E"/>
    <w:rsid w:val="00A555A4"/>
    <w:rsid w:val="00A56CFD"/>
    <w:rsid w:val="00A63E83"/>
    <w:rsid w:val="00A7220E"/>
    <w:rsid w:val="00A74325"/>
    <w:rsid w:val="00A74469"/>
    <w:rsid w:val="00A837A4"/>
    <w:rsid w:val="00A840F3"/>
    <w:rsid w:val="00A84183"/>
    <w:rsid w:val="00A860BD"/>
    <w:rsid w:val="00A863AA"/>
    <w:rsid w:val="00A8701B"/>
    <w:rsid w:val="00A87FE1"/>
    <w:rsid w:val="00A95BBF"/>
    <w:rsid w:val="00AA0CF6"/>
    <w:rsid w:val="00AB3D15"/>
    <w:rsid w:val="00AB4985"/>
    <w:rsid w:val="00AB49E0"/>
    <w:rsid w:val="00AB67E4"/>
    <w:rsid w:val="00AB7846"/>
    <w:rsid w:val="00AC2496"/>
    <w:rsid w:val="00AC5540"/>
    <w:rsid w:val="00AC7062"/>
    <w:rsid w:val="00AD2CEA"/>
    <w:rsid w:val="00AD2E94"/>
    <w:rsid w:val="00AD2FF3"/>
    <w:rsid w:val="00AE0CFE"/>
    <w:rsid w:val="00AE1185"/>
    <w:rsid w:val="00AE1F05"/>
    <w:rsid w:val="00AE3773"/>
    <w:rsid w:val="00AE4447"/>
    <w:rsid w:val="00AE540F"/>
    <w:rsid w:val="00AE54F8"/>
    <w:rsid w:val="00AE584E"/>
    <w:rsid w:val="00AE78CC"/>
    <w:rsid w:val="00AF068C"/>
    <w:rsid w:val="00AF3AD3"/>
    <w:rsid w:val="00AF75F6"/>
    <w:rsid w:val="00B0498F"/>
    <w:rsid w:val="00B053CB"/>
    <w:rsid w:val="00B053FA"/>
    <w:rsid w:val="00B0581A"/>
    <w:rsid w:val="00B078B0"/>
    <w:rsid w:val="00B10105"/>
    <w:rsid w:val="00B12811"/>
    <w:rsid w:val="00B147C6"/>
    <w:rsid w:val="00B15EC7"/>
    <w:rsid w:val="00B16161"/>
    <w:rsid w:val="00B16B2B"/>
    <w:rsid w:val="00B16E81"/>
    <w:rsid w:val="00B22DBE"/>
    <w:rsid w:val="00B23362"/>
    <w:rsid w:val="00B233B6"/>
    <w:rsid w:val="00B25943"/>
    <w:rsid w:val="00B26CD3"/>
    <w:rsid w:val="00B3058B"/>
    <w:rsid w:val="00B30758"/>
    <w:rsid w:val="00B3193D"/>
    <w:rsid w:val="00B32567"/>
    <w:rsid w:val="00B33D87"/>
    <w:rsid w:val="00B36CCD"/>
    <w:rsid w:val="00B37292"/>
    <w:rsid w:val="00B42872"/>
    <w:rsid w:val="00B46820"/>
    <w:rsid w:val="00B521B1"/>
    <w:rsid w:val="00B601F8"/>
    <w:rsid w:val="00B60893"/>
    <w:rsid w:val="00B60A0B"/>
    <w:rsid w:val="00B616E1"/>
    <w:rsid w:val="00B62278"/>
    <w:rsid w:val="00B63546"/>
    <w:rsid w:val="00B64FC4"/>
    <w:rsid w:val="00B72B17"/>
    <w:rsid w:val="00B8273E"/>
    <w:rsid w:val="00B856F0"/>
    <w:rsid w:val="00B85DBE"/>
    <w:rsid w:val="00B86DA8"/>
    <w:rsid w:val="00B87C4E"/>
    <w:rsid w:val="00B920E7"/>
    <w:rsid w:val="00B946EE"/>
    <w:rsid w:val="00B976FB"/>
    <w:rsid w:val="00BA45B7"/>
    <w:rsid w:val="00BA64E8"/>
    <w:rsid w:val="00BB3999"/>
    <w:rsid w:val="00BB422A"/>
    <w:rsid w:val="00BB6A67"/>
    <w:rsid w:val="00BB6F25"/>
    <w:rsid w:val="00BC618E"/>
    <w:rsid w:val="00BD33D1"/>
    <w:rsid w:val="00BD3765"/>
    <w:rsid w:val="00BD4748"/>
    <w:rsid w:val="00BD58B1"/>
    <w:rsid w:val="00BD66F2"/>
    <w:rsid w:val="00BE2769"/>
    <w:rsid w:val="00BE2853"/>
    <w:rsid w:val="00BE5F1C"/>
    <w:rsid w:val="00BE5FA0"/>
    <w:rsid w:val="00BE6A26"/>
    <w:rsid w:val="00BE6D08"/>
    <w:rsid w:val="00BF317E"/>
    <w:rsid w:val="00BF4AC3"/>
    <w:rsid w:val="00BF72FD"/>
    <w:rsid w:val="00BF7591"/>
    <w:rsid w:val="00C024C5"/>
    <w:rsid w:val="00C04639"/>
    <w:rsid w:val="00C1336F"/>
    <w:rsid w:val="00C13D59"/>
    <w:rsid w:val="00C14E57"/>
    <w:rsid w:val="00C16C97"/>
    <w:rsid w:val="00C17BC2"/>
    <w:rsid w:val="00C21503"/>
    <w:rsid w:val="00C24C1F"/>
    <w:rsid w:val="00C355AC"/>
    <w:rsid w:val="00C35AF5"/>
    <w:rsid w:val="00C4474C"/>
    <w:rsid w:val="00C505AC"/>
    <w:rsid w:val="00C51035"/>
    <w:rsid w:val="00C53495"/>
    <w:rsid w:val="00C549EF"/>
    <w:rsid w:val="00C57092"/>
    <w:rsid w:val="00C6144E"/>
    <w:rsid w:val="00C6671F"/>
    <w:rsid w:val="00C6732A"/>
    <w:rsid w:val="00C70083"/>
    <w:rsid w:val="00C77191"/>
    <w:rsid w:val="00C77C6C"/>
    <w:rsid w:val="00C81B20"/>
    <w:rsid w:val="00C85F22"/>
    <w:rsid w:val="00C93FBE"/>
    <w:rsid w:val="00C963C2"/>
    <w:rsid w:val="00CA1E17"/>
    <w:rsid w:val="00CB1165"/>
    <w:rsid w:val="00CB49DE"/>
    <w:rsid w:val="00CB7358"/>
    <w:rsid w:val="00CC104A"/>
    <w:rsid w:val="00CC2B2D"/>
    <w:rsid w:val="00CC317D"/>
    <w:rsid w:val="00CD2943"/>
    <w:rsid w:val="00CD3726"/>
    <w:rsid w:val="00CD6467"/>
    <w:rsid w:val="00CD7C8F"/>
    <w:rsid w:val="00CE03C5"/>
    <w:rsid w:val="00CE382E"/>
    <w:rsid w:val="00CE519B"/>
    <w:rsid w:val="00CE6DEE"/>
    <w:rsid w:val="00CF6584"/>
    <w:rsid w:val="00D009BC"/>
    <w:rsid w:val="00D0319C"/>
    <w:rsid w:val="00D05EFE"/>
    <w:rsid w:val="00D06E13"/>
    <w:rsid w:val="00D16FE6"/>
    <w:rsid w:val="00D20D00"/>
    <w:rsid w:val="00D21BA9"/>
    <w:rsid w:val="00D24C52"/>
    <w:rsid w:val="00D35A12"/>
    <w:rsid w:val="00D41549"/>
    <w:rsid w:val="00D42A59"/>
    <w:rsid w:val="00D46744"/>
    <w:rsid w:val="00D4702C"/>
    <w:rsid w:val="00D471E7"/>
    <w:rsid w:val="00D51A8D"/>
    <w:rsid w:val="00D52046"/>
    <w:rsid w:val="00D5288F"/>
    <w:rsid w:val="00D54980"/>
    <w:rsid w:val="00D54C2F"/>
    <w:rsid w:val="00D60CD5"/>
    <w:rsid w:val="00D61A51"/>
    <w:rsid w:val="00D62D6B"/>
    <w:rsid w:val="00D65FF4"/>
    <w:rsid w:val="00D6702D"/>
    <w:rsid w:val="00D67246"/>
    <w:rsid w:val="00D6798F"/>
    <w:rsid w:val="00D7144B"/>
    <w:rsid w:val="00D73276"/>
    <w:rsid w:val="00D811B5"/>
    <w:rsid w:val="00D81B70"/>
    <w:rsid w:val="00D831FD"/>
    <w:rsid w:val="00D83FB5"/>
    <w:rsid w:val="00D86FBF"/>
    <w:rsid w:val="00D9126F"/>
    <w:rsid w:val="00D9491B"/>
    <w:rsid w:val="00D97F66"/>
    <w:rsid w:val="00D97FEE"/>
    <w:rsid w:val="00DA2F1B"/>
    <w:rsid w:val="00DA42E5"/>
    <w:rsid w:val="00DA4666"/>
    <w:rsid w:val="00DA6228"/>
    <w:rsid w:val="00DA6845"/>
    <w:rsid w:val="00DB04E0"/>
    <w:rsid w:val="00DB1406"/>
    <w:rsid w:val="00DB4D42"/>
    <w:rsid w:val="00DB56BE"/>
    <w:rsid w:val="00DC46E3"/>
    <w:rsid w:val="00DD0EB1"/>
    <w:rsid w:val="00DD1D82"/>
    <w:rsid w:val="00DD4EF7"/>
    <w:rsid w:val="00DD6BCC"/>
    <w:rsid w:val="00DF31C9"/>
    <w:rsid w:val="00DF3AE5"/>
    <w:rsid w:val="00DF63F4"/>
    <w:rsid w:val="00E0667E"/>
    <w:rsid w:val="00E12933"/>
    <w:rsid w:val="00E14E0D"/>
    <w:rsid w:val="00E1736C"/>
    <w:rsid w:val="00E24E2C"/>
    <w:rsid w:val="00E306A3"/>
    <w:rsid w:val="00E4162B"/>
    <w:rsid w:val="00E43724"/>
    <w:rsid w:val="00E452D1"/>
    <w:rsid w:val="00E455B6"/>
    <w:rsid w:val="00E47242"/>
    <w:rsid w:val="00E47924"/>
    <w:rsid w:val="00E47E8F"/>
    <w:rsid w:val="00E5433D"/>
    <w:rsid w:val="00E54903"/>
    <w:rsid w:val="00E608EE"/>
    <w:rsid w:val="00E60955"/>
    <w:rsid w:val="00E62339"/>
    <w:rsid w:val="00E6287C"/>
    <w:rsid w:val="00E653B7"/>
    <w:rsid w:val="00E65B74"/>
    <w:rsid w:val="00E70E94"/>
    <w:rsid w:val="00E72A3F"/>
    <w:rsid w:val="00E8237A"/>
    <w:rsid w:val="00E82E61"/>
    <w:rsid w:val="00E84F28"/>
    <w:rsid w:val="00E90A9E"/>
    <w:rsid w:val="00E93ED4"/>
    <w:rsid w:val="00E94775"/>
    <w:rsid w:val="00E95EA8"/>
    <w:rsid w:val="00E97978"/>
    <w:rsid w:val="00EA1B0D"/>
    <w:rsid w:val="00EA3E84"/>
    <w:rsid w:val="00EB1508"/>
    <w:rsid w:val="00EB4D88"/>
    <w:rsid w:val="00EB553D"/>
    <w:rsid w:val="00EB6B79"/>
    <w:rsid w:val="00EB7C75"/>
    <w:rsid w:val="00EC2CD0"/>
    <w:rsid w:val="00ED289A"/>
    <w:rsid w:val="00ED2FCE"/>
    <w:rsid w:val="00ED4176"/>
    <w:rsid w:val="00ED7E01"/>
    <w:rsid w:val="00EE11B6"/>
    <w:rsid w:val="00EE4679"/>
    <w:rsid w:val="00EF078C"/>
    <w:rsid w:val="00EF72AF"/>
    <w:rsid w:val="00F03F42"/>
    <w:rsid w:val="00F05585"/>
    <w:rsid w:val="00F10CCE"/>
    <w:rsid w:val="00F11A5B"/>
    <w:rsid w:val="00F12546"/>
    <w:rsid w:val="00F12C6E"/>
    <w:rsid w:val="00F14531"/>
    <w:rsid w:val="00F1492D"/>
    <w:rsid w:val="00F21FEF"/>
    <w:rsid w:val="00F23B80"/>
    <w:rsid w:val="00F25345"/>
    <w:rsid w:val="00F263A9"/>
    <w:rsid w:val="00F2682E"/>
    <w:rsid w:val="00F338C8"/>
    <w:rsid w:val="00F33C8A"/>
    <w:rsid w:val="00F35749"/>
    <w:rsid w:val="00F407F1"/>
    <w:rsid w:val="00F43A2D"/>
    <w:rsid w:val="00F51486"/>
    <w:rsid w:val="00F52841"/>
    <w:rsid w:val="00F61965"/>
    <w:rsid w:val="00F63D4B"/>
    <w:rsid w:val="00F6727A"/>
    <w:rsid w:val="00F7107E"/>
    <w:rsid w:val="00F73DDF"/>
    <w:rsid w:val="00F75C0C"/>
    <w:rsid w:val="00F82400"/>
    <w:rsid w:val="00F84A08"/>
    <w:rsid w:val="00F91835"/>
    <w:rsid w:val="00FA54ED"/>
    <w:rsid w:val="00FA6F9C"/>
    <w:rsid w:val="00FB097B"/>
    <w:rsid w:val="00FB1501"/>
    <w:rsid w:val="00FB16E1"/>
    <w:rsid w:val="00FC6EBE"/>
    <w:rsid w:val="00FD32DE"/>
    <w:rsid w:val="00FD5F5C"/>
    <w:rsid w:val="00FD654C"/>
    <w:rsid w:val="00FE15D3"/>
    <w:rsid w:val="00FF2292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992B14F"/>
  <w15:chartTrackingRefBased/>
  <w15:docId w15:val="{73091CB0-A2DF-4D32-B504-237E4D0C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171A3C"/>
    <w:pPr>
      <w:numPr>
        <w:numId w:val="50"/>
      </w:numPr>
      <w:tabs>
        <w:tab w:val="left" w:pos="284"/>
      </w:tabs>
      <w:spacing w:before="120"/>
      <w:ind w:left="284" w:hanging="284"/>
    </w:pPr>
    <w:rPr>
      <w:rFonts w:cs="Arial"/>
      <w:iCs/>
      <w:color w:val="000000"/>
      <w:szCs w:val="22"/>
    </w:rPr>
  </w:style>
  <w:style w:type="paragraph" w:customStyle="1" w:styleId="Kstchen">
    <w:name w:val="Kästchen"/>
    <w:basedOn w:val="Standard"/>
    <w:qFormat/>
    <w:rsid w:val="004A7E76"/>
    <w:pPr>
      <w:numPr>
        <w:numId w:val="9"/>
      </w:numPr>
      <w:tabs>
        <w:tab w:val="clear" w:pos="851"/>
        <w:tab w:val="num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Standard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Standard"/>
    <w:rsid w:val="00E72A3F"/>
    <w:pPr>
      <w:shd w:val="clear" w:color="auto" w:fill="E6E6E6"/>
    </w:pPr>
  </w:style>
  <w:style w:type="paragraph" w:customStyle="1" w:styleId="TOP11">
    <w:name w:val="TOP 1.1"/>
    <w:basedOn w:val="Standard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berschrift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Standard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32C3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3532C3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3532C3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5409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0963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4096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096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40963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83F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0AB8-CE8E-4D6B-9EA7-1DAACFDA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560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19</cp:revision>
  <cp:lastPrinted>2017-08-31T08:05:00Z</cp:lastPrinted>
  <dcterms:created xsi:type="dcterms:W3CDTF">2017-07-31T11:59:00Z</dcterms:created>
  <dcterms:modified xsi:type="dcterms:W3CDTF">2017-11-06T12:16:00Z</dcterms:modified>
</cp:coreProperties>
</file>