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258A1AA" w14:textId="53D3CAC1" w:rsidR="00466901" w:rsidRDefault="00741887">
      <w:pPr>
        <w:pStyle w:val="berschrift"/>
      </w:pPr>
      <w:r>
        <w:t>Aktualizace prahových hodnot</w:t>
      </w:r>
      <w:bookmarkStart w:id="0" w:name="_GoBack"/>
      <w:bookmarkEnd w:id="0"/>
      <w:r>
        <w:br/>
        <w:t>v rámci Koncepce MKOL pro nakládání se sedimenty</w:t>
      </w:r>
      <w:r>
        <w:br/>
      </w:r>
      <w:r w:rsidRPr="00741887">
        <w:rPr>
          <w:b w:val="0"/>
        </w:rPr>
        <w:t xml:space="preserve">(stav: </w:t>
      </w:r>
      <w:r w:rsidR="00C35CCE">
        <w:rPr>
          <w:b w:val="0"/>
        </w:rPr>
        <w:t>20</w:t>
      </w:r>
      <w:r w:rsidR="00A41619">
        <w:rPr>
          <w:b w:val="0"/>
        </w:rPr>
        <w:t xml:space="preserve">. </w:t>
      </w:r>
      <w:r w:rsidR="00DA15DA">
        <w:rPr>
          <w:b w:val="0"/>
        </w:rPr>
        <w:t>8</w:t>
      </w:r>
      <w:r w:rsidR="00A41619">
        <w:rPr>
          <w:b w:val="0"/>
        </w:rPr>
        <w:t>.</w:t>
      </w:r>
      <w:r w:rsidRPr="00741887">
        <w:rPr>
          <w:b w:val="0"/>
        </w:rPr>
        <w:t xml:space="preserve"> 2018)</w:t>
      </w:r>
    </w:p>
    <w:p w14:paraId="2D3EE2F5" w14:textId="77777777" w:rsidR="00466901" w:rsidRDefault="00466901"/>
    <w:p w14:paraId="60959B08" w14:textId="77777777" w:rsidR="00466901" w:rsidRDefault="00741887">
      <w:pPr>
        <w:pStyle w:val="Nadpis1"/>
      </w:pPr>
      <w:r>
        <w:t>Odborný základ</w:t>
      </w:r>
    </w:p>
    <w:p w14:paraId="66696D6D" w14:textId="3889D78C" w:rsidR="00BD221B" w:rsidRDefault="00BD221B" w:rsidP="00BD221B">
      <w:r>
        <w:rPr>
          <w:rFonts w:cs="Arial"/>
          <w:szCs w:val="22"/>
        </w:rPr>
        <w:t xml:space="preserve">V roce 2014 byla schválena </w:t>
      </w:r>
      <w:r w:rsidRPr="0035358C">
        <w:rPr>
          <w:rFonts w:cs="Arial"/>
          <w:szCs w:val="22"/>
        </w:rPr>
        <w:t>společně vypracovan</w:t>
      </w:r>
      <w:r>
        <w:rPr>
          <w:rFonts w:cs="Arial"/>
          <w:szCs w:val="22"/>
        </w:rPr>
        <w:t>á</w:t>
      </w:r>
      <w:r w:rsidRPr="0035358C">
        <w:rPr>
          <w:rFonts w:cs="Arial"/>
          <w:szCs w:val="22"/>
        </w:rPr>
        <w:t>, po odborné stránce odsouhlasen</w:t>
      </w:r>
      <w:r>
        <w:rPr>
          <w:rFonts w:cs="Arial"/>
          <w:szCs w:val="22"/>
        </w:rPr>
        <w:t>á</w:t>
      </w:r>
      <w:r w:rsidRPr="0035358C">
        <w:rPr>
          <w:rFonts w:cs="Arial"/>
          <w:szCs w:val="22"/>
        </w:rPr>
        <w:t xml:space="preserve"> Koncepce </w:t>
      </w:r>
      <w:r>
        <w:rPr>
          <w:rFonts w:cs="Arial"/>
          <w:szCs w:val="22"/>
        </w:rPr>
        <w:t xml:space="preserve">MKOL </w:t>
      </w:r>
      <w:r w:rsidRPr="0035358C">
        <w:rPr>
          <w:rFonts w:cs="Arial"/>
          <w:szCs w:val="22"/>
        </w:rPr>
        <w:t>pro nakládání se sedimenty</w:t>
      </w:r>
      <w:r w:rsidR="00020583">
        <w:rPr>
          <w:rFonts w:cs="Arial"/>
          <w:szCs w:val="22"/>
        </w:rPr>
        <w:t xml:space="preserve"> (dále jen Koncepce)</w:t>
      </w:r>
      <w:r>
        <w:rPr>
          <w:rFonts w:cs="Arial"/>
          <w:szCs w:val="22"/>
        </w:rPr>
        <w:t xml:space="preserve">. </w:t>
      </w:r>
      <w:r w:rsidR="00020583">
        <w:rPr>
          <w:rFonts w:cs="Arial"/>
          <w:szCs w:val="22"/>
        </w:rPr>
        <w:t xml:space="preserve">Odpovídá </w:t>
      </w:r>
      <w:r>
        <w:rPr>
          <w:rFonts w:cs="Arial"/>
          <w:szCs w:val="22"/>
        </w:rPr>
        <w:t>Koncepc</w:t>
      </w:r>
      <w:r w:rsidR="00020583">
        <w:rPr>
          <w:rFonts w:cs="Arial"/>
          <w:szCs w:val="22"/>
        </w:rPr>
        <w:t>i</w:t>
      </w:r>
      <w:r w:rsidRPr="0035358C">
        <w:rPr>
          <w:rFonts w:cs="Arial"/>
          <w:szCs w:val="22"/>
        </w:rPr>
        <w:t xml:space="preserve"> FGG Elbe </w:t>
      </w:r>
      <w:r>
        <w:rPr>
          <w:rFonts w:cs="Arial"/>
          <w:szCs w:val="22"/>
        </w:rPr>
        <w:t xml:space="preserve">pro nakládání se sedimenty, která byla schválena v roce 2013. Obě koncepce byly zpracovávány </w:t>
      </w:r>
      <w:r w:rsidR="00FA0A86">
        <w:rPr>
          <w:rFonts w:cs="Arial"/>
          <w:szCs w:val="22"/>
        </w:rPr>
        <w:t>z</w:t>
      </w:r>
      <w:r>
        <w:rPr>
          <w:rFonts w:cs="Arial"/>
          <w:szCs w:val="22"/>
        </w:rPr>
        <w:t>část</w:t>
      </w:r>
      <w:r w:rsidR="00FA0A86">
        <w:rPr>
          <w:rFonts w:cs="Arial"/>
          <w:szCs w:val="22"/>
        </w:rPr>
        <w:t>i</w:t>
      </w:r>
      <w:r>
        <w:rPr>
          <w:rFonts w:cs="Arial"/>
          <w:szCs w:val="22"/>
        </w:rPr>
        <w:t xml:space="preserve"> současně. </w:t>
      </w:r>
      <w:r w:rsidRPr="0035358C">
        <w:rPr>
          <w:rFonts w:cs="Arial"/>
          <w:szCs w:val="22"/>
        </w:rPr>
        <w:t xml:space="preserve">Koncepce pro nakládání se sedimenty MKOL byla ve smyslu Rámcové směrnice o vodách zpracována s přeshraniční působností pro mezinárodní oblast povodí. </w:t>
      </w:r>
      <w:r w:rsidR="00020583">
        <w:rPr>
          <w:rFonts w:cs="Arial"/>
          <w:szCs w:val="22"/>
        </w:rPr>
        <w:t>Č</w:t>
      </w:r>
      <w:r w:rsidRPr="0035358C">
        <w:rPr>
          <w:rFonts w:cs="Arial"/>
          <w:szCs w:val="22"/>
        </w:rPr>
        <w:t xml:space="preserve">eské a německé právní předpisy </w:t>
      </w:r>
      <w:r w:rsidR="00020583">
        <w:rPr>
          <w:rFonts w:cs="Arial"/>
          <w:szCs w:val="22"/>
        </w:rPr>
        <w:t xml:space="preserve">jsou zde </w:t>
      </w:r>
      <w:r w:rsidRPr="0035358C">
        <w:rPr>
          <w:rFonts w:cs="Arial"/>
          <w:szCs w:val="22"/>
        </w:rPr>
        <w:t>považovány za rovnocenné.</w:t>
      </w:r>
    </w:p>
    <w:p w14:paraId="7597E189" w14:textId="77777777" w:rsidR="00466901" w:rsidRDefault="00466901"/>
    <w:p w14:paraId="5EB43709" w14:textId="240D3EB7" w:rsidR="00741887" w:rsidRDefault="00741887">
      <w:r w:rsidRPr="0035358C">
        <w:rPr>
          <w:rFonts w:cs="Arial"/>
          <w:szCs w:val="22"/>
        </w:rPr>
        <w:t xml:space="preserve">Pro charakterizaci environmentálního rizika pocházejícího ze znečišťujících látek vázaných na pevnou matrici byl v Koncepci vypracován klasifikační systém </w:t>
      </w:r>
      <w:r w:rsidR="003F3F4A">
        <w:rPr>
          <w:rFonts w:cs="Arial"/>
          <w:szCs w:val="22"/>
        </w:rPr>
        <w:t>pomocí</w:t>
      </w:r>
      <w:r w:rsidR="003F3F4A" w:rsidRPr="0035358C">
        <w:rPr>
          <w:rFonts w:cs="Arial"/>
          <w:szCs w:val="22"/>
        </w:rPr>
        <w:t xml:space="preserve"> </w:t>
      </w:r>
      <w:r w:rsidRPr="0035358C">
        <w:rPr>
          <w:rFonts w:cs="Arial"/>
          <w:szCs w:val="22"/>
        </w:rPr>
        <w:t xml:space="preserve">prahových hodnot pro 29 znečišťujících látek relevantních pro Labe, jejichž měřítko hodnocení zahrnuje požadavky kladené na využívání toku (např. rybolov, zemědělské využití, plavba). Při zohlednění </w:t>
      </w:r>
      <w:r w:rsidR="001979D3">
        <w:rPr>
          <w:rFonts w:cs="Arial"/>
          <w:szCs w:val="22"/>
        </w:rPr>
        <w:t>požadavků na</w:t>
      </w:r>
      <w:r w:rsidR="001979D3" w:rsidRPr="0035358C">
        <w:rPr>
          <w:rFonts w:cs="Arial"/>
          <w:szCs w:val="22"/>
        </w:rPr>
        <w:t xml:space="preserve"> </w:t>
      </w:r>
      <w:r w:rsidRPr="0035358C">
        <w:rPr>
          <w:rFonts w:cs="Arial"/>
          <w:szCs w:val="22"/>
        </w:rPr>
        <w:t>ochran</w:t>
      </w:r>
      <w:r w:rsidR="001979D3">
        <w:rPr>
          <w:rFonts w:cs="Arial"/>
          <w:szCs w:val="22"/>
        </w:rPr>
        <w:t>u</w:t>
      </w:r>
      <w:r w:rsidRPr="0035358C">
        <w:rPr>
          <w:rFonts w:cs="Arial"/>
          <w:szCs w:val="22"/>
        </w:rPr>
        <w:t xml:space="preserve"> a právních předpisů byla zpracována obecná pravidla pro odvození klasifikačního postupu. </w:t>
      </w:r>
      <w:r w:rsidR="003B57E7">
        <w:rPr>
          <w:rFonts w:cs="Arial"/>
          <w:szCs w:val="22"/>
        </w:rPr>
        <w:t>Při</w:t>
      </w:r>
      <w:r w:rsidR="00670723">
        <w:rPr>
          <w:rFonts w:cs="Arial"/>
          <w:szCs w:val="22"/>
        </w:rPr>
        <w:t xml:space="preserve"> zpracování obou koncepcí (FGG Elbe 2013, MKOL 2014) </w:t>
      </w:r>
      <w:r w:rsidRPr="0035358C">
        <w:rPr>
          <w:rFonts w:cs="Arial"/>
          <w:szCs w:val="22"/>
        </w:rPr>
        <w:t>byly zahrnuty:</w:t>
      </w:r>
    </w:p>
    <w:p w14:paraId="42B02E42" w14:textId="67A4CC90" w:rsidR="00741887" w:rsidRPr="00741887" w:rsidRDefault="00741887" w:rsidP="00741887">
      <w:pPr>
        <w:pStyle w:val="Odstavecseseznamem"/>
        <w:numPr>
          <w:ilvl w:val="0"/>
          <w:numId w:val="22"/>
        </w:numPr>
        <w:spacing w:before="120"/>
        <w:ind w:left="284" w:hanging="284"/>
        <w:contextualSpacing w:val="0"/>
        <w:rPr>
          <w:rFonts w:cs="Arial"/>
          <w:szCs w:val="22"/>
        </w:rPr>
      </w:pPr>
      <w:r w:rsidRPr="00741887">
        <w:rPr>
          <w:rFonts w:cs="Arial"/>
          <w:szCs w:val="22"/>
        </w:rPr>
        <w:t>platný stav regulativních ustanovení</w:t>
      </w:r>
      <w:r w:rsidR="00670723">
        <w:rPr>
          <w:rFonts w:cs="Arial"/>
          <w:szCs w:val="22"/>
        </w:rPr>
        <w:t xml:space="preserve"> v letech 2013 / 2014</w:t>
      </w:r>
      <w:r w:rsidRPr="00741887">
        <w:rPr>
          <w:rFonts w:cs="Arial"/>
          <w:szCs w:val="22"/>
        </w:rPr>
        <w:t>: normy environmentální kvality (NEK) podle Rámcové směrnice o vodách a jejich implementace do národní legislativy v Německu a v České republice (</w:t>
      </w:r>
      <w:proofErr w:type="spellStart"/>
      <w:r w:rsidRPr="00741887">
        <w:rPr>
          <w:rFonts w:cs="Arial"/>
          <w:szCs w:val="22"/>
        </w:rPr>
        <w:t>OGewV</w:t>
      </w:r>
      <w:proofErr w:type="spellEnd"/>
      <w:r w:rsidRPr="00741887">
        <w:rPr>
          <w:rFonts w:cs="Arial"/>
          <w:szCs w:val="22"/>
        </w:rPr>
        <w:t xml:space="preserve"> 2011; </w:t>
      </w:r>
      <w:r w:rsidR="00EA108C">
        <w:rPr>
          <w:rFonts w:cs="Arial"/>
          <w:szCs w:val="22"/>
        </w:rPr>
        <w:t>n</w:t>
      </w:r>
      <w:r w:rsidR="001979D3">
        <w:rPr>
          <w:rFonts w:cs="Arial"/>
          <w:szCs w:val="22"/>
        </w:rPr>
        <w:t xml:space="preserve">ařízení vlády </w:t>
      </w:r>
      <w:r w:rsidRPr="00741887">
        <w:rPr>
          <w:rFonts w:cs="Arial"/>
          <w:szCs w:val="22"/>
        </w:rPr>
        <w:t xml:space="preserve">23/2011 Sb.), cíle dohodnuté na mezinárodní úrovni k ochraně severovýchodního Atlantiku (OSPAR) a v jejich důsledku Společná přechodná ustanovení pro nakládání s odtěženými nánosy v pobřežních vodách (GÜBAK 2009), preventivní hodnoty pro zabezpečení a obnově funkčnosti půdy podle </w:t>
      </w:r>
      <w:r w:rsidR="001979D3">
        <w:rPr>
          <w:rFonts w:cs="Arial"/>
          <w:szCs w:val="22"/>
        </w:rPr>
        <w:t>S</w:t>
      </w:r>
      <w:r w:rsidRPr="00741887">
        <w:rPr>
          <w:rFonts w:cs="Arial"/>
          <w:szCs w:val="22"/>
        </w:rPr>
        <w:t>polkové vyhlášky o ochraně půdy a starých ekologických zátěžích (</w:t>
      </w:r>
      <w:proofErr w:type="spellStart"/>
      <w:r w:rsidRPr="00741887">
        <w:rPr>
          <w:rFonts w:cs="Arial"/>
          <w:szCs w:val="22"/>
        </w:rPr>
        <w:t>BBodSchV</w:t>
      </w:r>
      <w:proofErr w:type="spellEnd"/>
      <w:r w:rsidRPr="00741887">
        <w:rPr>
          <w:rFonts w:cs="Arial"/>
          <w:szCs w:val="22"/>
        </w:rPr>
        <w:t>) a normy na ochranu lidského zdraví (normy EU o nežádoucích látkách v krmivech a o zatížení konzumních ryb);</w:t>
      </w:r>
    </w:p>
    <w:p w14:paraId="7BEB7995" w14:textId="77777777" w:rsidR="00741887" w:rsidRPr="00741887" w:rsidRDefault="00741887" w:rsidP="00670723">
      <w:pPr>
        <w:pStyle w:val="Odstavecseseznamem"/>
        <w:numPr>
          <w:ilvl w:val="0"/>
          <w:numId w:val="22"/>
        </w:numPr>
        <w:spacing w:before="120"/>
        <w:ind w:left="284" w:hanging="284"/>
        <w:contextualSpacing w:val="0"/>
      </w:pPr>
      <w:r w:rsidRPr="0035358C">
        <w:rPr>
          <w:rFonts w:cs="Arial"/>
          <w:szCs w:val="22"/>
        </w:rPr>
        <w:t xml:space="preserve">stav vědecké diskuse na téma „Standardy kvality pro sedimenty“: cílové záměry pro sedimenty podle stavu vědomostí (de </w:t>
      </w:r>
      <w:proofErr w:type="spellStart"/>
      <w:proofErr w:type="gramStart"/>
      <w:r w:rsidRPr="0035358C">
        <w:rPr>
          <w:rFonts w:cs="Arial"/>
          <w:szCs w:val="22"/>
        </w:rPr>
        <w:t>Deckere</w:t>
      </w:r>
      <w:proofErr w:type="spellEnd"/>
      <w:proofErr w:type="gramEnd"/>
      <w:r w:rsidRPr="0035358C">
        <w:rPr>
          <w:rFonts w:cs="Arial"/>
          <w:szCs w:val="22"/>
        </w:rPr>
        <w:t xml:space="preserve"> et al. 2011, MacDonald et al. 2000)</w:t>
      </w:r>
      <w:r w:rsidRPr="0035358C">
        <w:rPr>
          <w:rFonts w:cs="Arial"/>
          <w:color w:val="000000" w:themeColor="text1"/>
          <w:szCs w:val="22"/>
        </w:rPr>
        <w:t>;</w:t>
      </w:r>
    </w:p>
    <w:p w14:paraId="13A440A4" w14:textId="77777777" w:rsidR="00741887" w:rsidRDefault="00741887" w:rsidP="00670723">
      <w:pPr>
        <w:pStyle w:val="Odstavecseseznamem"/>
        <w:numPr>
          <w:ilvl w:val="0"/>
          <w:numId w:val="22"/>
        </w:numPr>
        <w:spacing w:before="120"/>
        <w:ind w:left="284" w:hanging="284"/>
        <w:contextualSpacing w:val="0"/>
      </w:pPr>
      <w:r w:rsidRPr="0035358C">
        <w:rPr>
          <w:rFonts w:cs="Arial"/>
          <w:szCs w:val="22"/>
        </w:rPr>
        <w:t>rozsáhlá statistická vyhodnocení dostupných dat k zatížení sedimentů Labe znečišťujícími látkami.</w:t>
      </w:r>
    </w:p>
    <w:p w14:paraId="1F50A2A1" w14:textId="77777777" w:rsidR="00741887" w:rsidRDefault="00741887"/>
    <w:p w14:paraId="737BC62A" w14:textId="77777777" w:rsidR="00670723" w:rsidRDefault="00670723"/>
    <w:p w14:paraId="6E6E24A1" w14:textId="77777777" w:rsidR="00741887" w:rsidRDefault="00670723" w:rsidP="00741887">
      <w:pPr>
        <w:rPr>
          <w:rFonts w:cs="Arial"/>
          <w:szCs w:val="22"/>
        </w:rPr>
      </w:pPr>
      <w:r>
        <w:rPr>
          <w:rFonts w:cs="Arial"/>
          <w:szCs w:val="22"/>
        </w:rPr>
        <w:t xml:space="preserve">Pro odstupňovanou aplikaci indikátorů v souvislosti s klasifikací plavenin a sedimentů byla pro každou látku vytvořena </w:t>
      </w:r>
      <w:r w:rsidR="00741887" w:rsidRPr="0035358C">
        <w:rPr>
          <w:rFonts w:cs="Arial"/>
          <w:szCs w:val="22"/>
        </w:rPr>
        <w:t>dolní a horní prahov</w:t>
      </w:r>
      <w:r>
        <w:rPr>
          <w:rFonts w:cs="Arial"/>
          <w:szCs w:val="22"/>
        </w:rPr>
        <w:t>á</w:t>
      </w:r>
      <w:r w:rsidR="00741887" w:rsidRPr="0035358C">
        <w:rPr>
          <w:rFonts w:cs="Arial"/>
          <w:szCs w:val="22"/>
        </w:rPr>
        <w:t xml:space="preserve"> hodnot</w:t>
      </w:r>
      <w:r>
        <w:rPr>
          <w:rFonts w:cs="Arial"/>
          <w:szCs w:val="22"/>
        </w:rPr>
        <w:t>a</w:t>
      </w:r>
      <w:r w:rsidR="00741887" w:rsidRPr="0035358C">
        <w:rPr>
          <w:rFonts w:cs="Arial"/>
          <w:szCs w:val="22"/>
        </w:rPr>
        <w:t>:</w:t>
      </w:r>
    </w:p>
    <w:p w14:paraId="12801992" w14:textId="77777777" w:rsidR="00670723" w:rsidRPr="0035358C" w:rsidRDefault="00670723" w:rsidP="00741887">
      <w:pPr>
        <w:rPr>
          <w:rFonts w:cs="Arial"/>
          <w:szCs w:val="22"/>
        </w:rPr>
      </w:pPr>
    </w:p>
    <w:p w14:paraId="5761AADD" w14:textId="77777777" w:rsidR="00741887" w:rsidRPr="0035358C" w:rsidRDefault="00741887" w:rsidP="00670723">
      <w:pPr>
        <w:spacing w:after="120"/>
        <w:rPr>
          <w:rFonts w:cs="Arial"/>
          <w:b/>
          <w:szCs w:val="22"/>
        </w:rPr>
      </w:pPr>
      <w:r w:rsidRPr="0035358C">
        <w:rPr>
          <w:rFonts w:cs="Arial"/>
          <w:b/>
          <w:szCs w:val="22"/>
        </w:rPr>
        <w:t>Dolní prahová hodnota (DPH)</w:t>
      </w:r>
    </w:p>
    <w:p w14:paraId="58E4BC4C" w14:textId="77777777" w:rsidR="00741887" w:rsidRPr="0035358C" w:rsidRDefault="00741887" w:rsidP="00741887">
      <w:pPr>
        <w:rPr>
          <w:rFonts w:cs="Arial"/>
          <w:szCs w:val="22"/>
        </w:rPr>
      </w:pPr>
      <w:r w:rsidRPr="0035358C">
        <w:rPr>
          <w:rFonts w:cs="Arial"/>
          <w:szCs w:val="22"/>
        </w:rPr>
        <w:t xml:space="preserve">DPH představuje limit specifický pro danou znečišťující látku (nejnižší obsah v sérii relevantních požadavků kvality), pod kterým mohou být podle současného stavu poznatků a ustanovení dosaženy všechny environmentální cíle závislé na dobrém stavu sedimentů (chemický a ekologický dobrý stav vod, integrita vodních společenstev, ochrana půdy (údolní niva / marše), lidské zdraví), a to časově neomezeně a nezávisle na lokalitě. To však neznamená, že by DPH musely být dodrženy bezprostředně ve všech útvarech povrchových vod FGG Elbe / MKOL nebo že by si vynucovaly realizaci opatření. Na jedné straně je třeba brát při hodnocení a vyhodnocení v úvahu zvýšené koncentrace </w:t>
      </w:r>
      <w:proofErr w:type="spellStart"/>
      <w:r w:rsidRPr="0035358C">
        <w:rPr>
          <w:rFonts w:cs="Arial"/>
          <w:szCs w:val="22"/>
        </w:rPr>
        <w:t>geogenního</w:t>
      </w:r>
      <w:proofErr w:type="spellEnd"/>
      <w:r w:rsidRPr="0035358C">
        <w:rPr>
          <w:rFonts w:cs="Arial"/>
          <w:szCs w:val="22"/>
        </w:rPr>
        <w:t xml:space="preserve"> pozadí. Na druhé straně je třeba zohlednit oblasti prostorové platnosti pro operativní cíle. Například cíle na ochranu moří platí podle definice pro brakické vody, oblast pobřeží a moří. Přesto však může být v zájmu všeobecné ochrany moří nezbytné učinit již daleko v horní části povodí opatření ke snížení znečišťujících látek, které vedou k dosažení cílů </w:t>
      </w:r>
      <w:r w:rsidRPr="0035358C">
        <w:rPr>
          <w:rFonts w:cs="Arial"/>
          <w:szCs w:val="22"/>
        </w:rPr>
        <w:lastRenderedPageBreak/>
        <w:t>ochrany moří. Při stanovení DPH se tedy nejedná o předjímání konkrétních operativních cílů (FGG Elbe 2013, MKOL 2014).</w:t>
      </w:r>
    </w:p>
    <w:p w14:paraId="5A188B8C" w14:textId="77777777" w:rsidR="00741887" w:rsidRPr="0035358C" w:rsidRDefault="00741887" w:rsidP="00741887">
      <w:pPr>
        <w:rPr>
          <w:rFonts w:cs="Arial"/>
        </w:rPr>
      </w:pPr>
    </w:p>
    <w:p w14:paraId="7AAE4ED3" w14:textId="77777777" w:rsidR="00741887" w:rsidRPr="0035358C" w:rsidRDefault="00741887" w:rsidP="00670723">
      <w:pPr>
        <w:spacing w:after="120"/>
        <w:rPr>
          <w:rFonts w:cs="Arial"/>
          <w:b/>
          <w:szCs w:val="22"/>
        </w:rPr>
      </w:pPr>
      <w:r w:rsidRPr="0035358C">
        <w:rPr>
          <w:rFonts w:cs="Arial"/>
          <w:b/>
          <w:szCs w:val="22"/>
        </w:rPr>
        <w:t>Horní prahová hodnota (HPH)</w:t>
      </w:r>
    </w:p>
    <w:p w14:paraId="0C12F41C" w14:textId="77777777" w:rsidR="00741887" w:rsidRPr="0035358C" w:rsidRDefault="00741887" w:rsidP="00741887">
      <w:pPr>
        <w:rPr>
          <w:rFonts w:cs="Arial"/>
          <w:color w:val="000000" w:themeColor="text1"/>
          <w:szCs w:val="22"/>
        </w:rPr>
      </w:pPr>
      <w:r w:rsidRPr="0035358C">
        <w:rPr>
          <w:rFonts w:cs="Arial"/>
          <w:szCs w:val="22"/>
        </w:rPr>
        <w:t xml:space="preserve">HPH je </w:t>
      </w:r>
      <w:r w:rsidR="00670723">
        <w:rPr>
          <w:rFonts w:cs="Arial"/>
          <w:szCs w:val="22"/>
        </w:rPr>
        <w:t>v zásadě definována</w:t>
      </w:r>
      <w:r w:rsidRPr="0035358C">
        <w:rPr>
          <w:rFonts w:cs="Arial"/>
          <w:szCs w:val="22"/>
        </w:rPr>
        <w:t xml:space="preserve"> na základě </w:t>
      </w:r>
      <w:r w:rsidR="00670723">
        <w:rPr>
          <w:rFonts w:cs="Arial"/>
          <w:szCs w:val="22"/>
        </w:rPr>
        <w:t>platných norem environmentální kvality (</w:t>
      </w:r>
      <w:r w:rsidRPr="0035358C">
        <w:rPr>
          <w:rFonts w:cs="Arial"/>
          <w:szCs w:val="22"/>
        </w:rPr>
        <w:t>NEK</w:t>
      </w:r>
      <w:r w:rsidR="00670723">
        <w:rPr>
          <w:rFonts w:cs="Arial"/>
          <w:szCs w:val="22"/>
        </w:rPr>
        <w:t>)</w:t>
      </w:r>
      <w:r w:rsidRPr="0035358C">
        <w:rPr>
          <w:rFonts w:cs="Arial"/>
          <w:szCs w:val="22"/>
        </w:rPr>
        <w:t xml:space="preserve"> </w:t>
      </w:r>
      <w:r w:rsidR="00670723">
        <w:rPr>
          <w:rFonts w:cs="Arial"/>
          <w:szCs w:val="22"/>
        </w:rPr>
        <w:t xml:space="preserve">pro znečišťující látky v sedimentech, které byly stanoveny na národní úrovni v rámci implementace Rámcové směrnice o vodách. </w:t>
      </w:r>
      <w:r w:rsidRPr="0035358C">
        <w:rPr>
          <w:rFonts w:cs="Arial"/>
          <w:szCs w:val="22"/>
        </w:rPr>
        <w:t xml:space="preserve">Pokud pro nějakou znečišťující látku není legislativou stanovena žádná závazná NEK, platí hodnoty odvozené z ekotoxikologického hlediska z literatury (stav vědomostí) nebo </w:t>
      </w:r>
      <w:r w:rsidR="008B5390">
        <w:rPr>
          <w:rFonts w:cs="Arial"/>
          <w:szCs w:val="22"/>
        </w:rPr>
        <w:t xml:space="preserve">– pokud ani tyto nejsou k dispozici – </w:t>
      </w:r>
      <w:r w:rsidRPr="0035358C">
        <w:rPr>
          <w:rFonts w:cs="Arial"/>
          <w:szCs w:val="22"/>
        </w:rPr>
        <w:t>nejpřísnější hodnoty jiných dostupných národních ustanovení (správn</w:t>
      </w:r>
      <w:r w:rsidR="00DC7E17">
        <w:rPr>
          <w:rFonts w:cs="Arial"/>
          <w:szCs w:val="22"/>
        </w:rPr>
        <w:t>á</w:t>
      </w:r>
      <w:r w:rsidRPr="0035358C">
        <w:rPr>
          <w:rFonts w:cs="Arial"/>
          <w:szCs w:val="22"/>
        </w:rPr>
        <w:t xml:space="preserve"> odborná praxe). Překročení HPH vyžaduje podle Koncepce pro nakládání se sedimenty nutnost zpracování analýzy rizik ve vazbě na zdroje ve spojitosti s vypracováním doporučených postupů (FGG Elbe 2013, MKOL 2014)</w:t>
      </w:r>
      <w:r w:rsidRPr="0035358C">
        <w:rPr>
          <w:rFonts w:cs="Arial"/>
          <w:color w:val="000000" w:themeColor="text1"/>
          <w:szCs w:val="22"/>
        </w:rPr>
        <w:t>.</w:t>
      </w:r>
    </w:p>
    <w:p w14:paraId="4E2B8899" w14:textId="77777777" w:rsidR="00741887" w:rsidRDefault="00741887"/>
    <w:p w14:paraId="772438C9" w14:textId="77777777" w:rsidR="00741887" w:rsidRDefault="00741887"/>
    <w:p w14:paraId="43A363BE" w14:textId="77777777" w:rsidR="00466901" w:rsidRDefault="008B5390">
      <w:pPr>
        <w:pStyle w:val="Nadpis1"/>
      </w:pPr>
      <w:r>
        <w:t>Potřeba aktualizace prahových hodnot</w:t>
      </w:r>
    </w:p>
    <w:p w14:paraId="6E363913" w14:textId="77777777" w:rsidR="00D06E93" w:rsidRPr="00D06E93" w:rsidRDefault="008B5390">
      <w:pPr>
        <w:rPr>
          <w:szCs w:val="22"/>
        </w:rPr>
      </w:pPr>
      <w:r w:rsidRPr="00CE2CED">
        <w:rPr>
          <w:szCs w:val="22"/>
        </w:rPr>
        <w:t xml:space="preserve">V době zpracování a vydání Koncepcí MKOL a FGG Elbe pro nakládání se sedimenty platily </w:t>
      </w:r>
      <w:r w:rsidR="00F20F70" w:rsidRPr="00CE2CED">
        <w:rPr>
          <w:szCs w:val="22"/>
        </w:rPr>
        <w:t xml:space="preserve">pro znečišťující látky v sedimentech </w:t>
      </w:r>
      <w:r w:rsidRPr="00CE2CED">
        <w:rPr>
          <w:szCs w:val="22"/>
        </w:rPr>
        <w:t>na české i německé straně NEK podle příslušných národních vyhlášek  z roku 2011</w:t>
      </w:r>
      <w:r w:rsidR="00DC7E17" w:rsidRPr="00CE2CED">
        <w:rPr>
          <w:szCs w:val="22"/>
        </w:rPr>
        <w:t xml:space="preserve"> (23/2011 Sb., </w:t>
      </w:r>
      <w:proofErr w:type="spellStart"/>
      <w:r w:rsidR="00DC7E17" w:rsidRPr="00CE2CED">
        <w:rPr>
          <w:szCs w:val="22"/>
        </w:rPr>
        <w:t>OGewV</w:t>
      </w:r>
      <w:proofErr w:type="spellEnd"/>
      <w:r w:rsidR="00DC7E17" w:rsidRPr="00CE2CED">
        <w:rPr>
          <w:szCs w:val="22"/>
        </w:rPr>
        <w:t xml:space="preserve"> 2011)</w:t>
      </w:r>
      <w:r w:rsidRPr="00CE2CED">
        <w:rPr>
          <w:szCs w:val="22"/>
        </w:rPr>
        <w:t>, které transponovaly evropskou směrnici 2008/105/ES</w:t>
      </w:r>
      <w:r w:rsidRPr="00CE2CED">
        <w:rPr>
          <w:rStyle w:val="Znakapoznpodarou"/>
          <w:szCs w:val="22"/>
        </w:rPr>
        <w:footnoteReference w:id="1"/>
      </w:r>
      <w:r w:rsidRPr="00CE2CED">
        <w:rPr>
          <w:szCs w:val="22"/>
        </w:rPr>
        <w:t xml:space="preserve">. </w:t>
      </w:r>
      <w:r w:rsidR="00940441" w:rsidRPr="00CE2CED">
        <w:rPr>
          <w:szCs w:val="22"/>
        </w:rPr>
        <w:t xml:space="preserve">V souladu s koncepcí pro nakládání se sedimenty tvořily tyto NEK </w:t>
      </w:r>
      <w:r w:rsidR="00C56441" w:rsidRPr="00CE2CED">
        <w:rPr>
          <w:szCs w:val="22"/>
        </w:rPr>
        <w:t xml:space="preserve">HPH </w:t>
      </w:r>
      <w:r w:rsidR="00940441" w:rsidRPr="00CE2CED">
        <w:rPr>
          <w:szCs w:val="22"/>
        </w:rPr>
        <w:t xml:space="preserve">pro </w:t>
      </w:r>
      <w:r w:rsidR="00DC7E17" w:rsidRPr="00CE2CED">
        <w:rPr>
          <w:szCs w:val="22"/>
        </w:rPr>
        <w:t>příslušné</w:t>
      </w:r>
      <w:r w:rsidR="00940441" w:rsidRPr="00CE2CED">
        <w:rPr>
          <w:szCs w:val="22"/>
        </w:rPr>
        <w:t xml:space="preserve"> znečišťující látky relevantní pro Labe </w:t>
      </w:r>
      <w:r w:rsidR="00DC7E17" w:rsidRPr="00CE2CED">
        <w:rPr>
          <w:szCs w:val="22"/>
        </w:rPr>
        <w:t>(celkem 21 z 29)</w:t>
      </w:r>
      <w:r w:rsidR="00940441" w:rsidRPr="00CE2CED">
        <w:rPr>
          <w:szCs w:val="22"/>
        </w:rPr>
        <w:t xml:space="preserve">. </w:t>
      </w:r>
      <w:r w:rsidRPr="00CE2CED">
        <w:rPr>
          <w:szCs w:val="22"/>
        </w:rPr>
        <w:t>Po změně směrnice</w:t>
      </w:r>
      <w:r w:rsidR="00940441" w:rsidRPr="00CE2CED">
        <w:rPr>
          <w:szCs w:val="22"/>
        </w:rPr>
        <w:t xml:space="preserve"> 2008/105/ES</w:t>
      </w:r>
      <w:r w:rsidRPr="00CE2CED">
        <w:rPr>
          <w:szCs w:val="22"/>
        </w:rPr>
        <w:t xml:space="preserve"> směrnicí 2013/39/EU</w:t>
      </w:r>
      <w:r w:rsidR="00940441" w:rsidRPr="00CE2CED">
        <w:rPr>
          <w:rStyle w:val="Znakapoznpodarou"/>
          <w:szCs w:val="22"/>
        </w:rPr>
        <w:footnoteReference w:id="2"/>
      </w:r>
      <w:r w:rsidRPr="00CE2CED">
        <w:rPr>
          <w:szCs w:val="22"/>
        </w:rPr>
        <w:t xml:space="preserve"> došlo i k úpravě národní legislativy. Zatímco na německé straně byly NEK pro sedimenty v nové vyhlášce </w:t>
      </w:r>
      <w:proofErr w:type="spellStart"/>
      <w:r w:rsidRPr="00CE2CED">
        <w:rPr>
          <w:szCs w:val="22"/>
        </w:rPr>
        <w:t>OGEwV</w:t>
      </w:r>
      <w:proofErr w:type="spellEnd"/>
      <w:r w:rsidRPr="00CE2CED">
        <w:rPr>
          <w:szCs w:val="22"/>
        </w:rPr>
        <w:t xml:space="preserve"> 2016</w:t>
      </w:r>
      <w:r w:rsidR="000F741D" w:rsidRPr="00CE2CED">
        <w:rPr>
          <w:szCs w:val="22"/>
        </w:rPr>
        <w:t xml:space="preserve">, která nahradila vyhlášku </w:t>
      </w:r>
      <w:proofErr w:type="spellStart"/>
      <w:r w:rsidR="000F741D" w:rsidRPr="00CE2CED">
        <w:rPr>
          <w:szCs w:val="22"/>
        </w:rPr>
        <w:t>OGewV</w:t>
      </w:r>
      <w:proofErr w:type="spellEnd"/>
      <w:r w:rsidR="000F741D" w:rsidRPr="00CE2CED">
        <w:rPr>
          <w:szCs w:val="22"/>
        </w:rPr>
        <w:t xml:space="preserve"> 2011,</w:t>
      </w:r>
      <w:r w:rsidRPr="00CE2CED">
        <w:rPr>
          <w:szCs w:val="22"/>
        </w:rPr>
        <w:t xml:space="preserve"> </w:t>
      </w:r>
      <w:r w:rsidR="00A73B4C">
        <w:rPr>
          <w:szCs w:val="22"/>
        </w:rPr>
        <w:t xml:space="preserve">většinou </w:t>
      </w:r>
      <w:r w:rsidRPr="00CE2CED">
        <w:rPr>
          <w:szCs w:val="22"/>
        </w:rPr>
        <w:t xml:space="preserve">zachovány, bylo na české straně příslušné nařízení č. 23/2011 Sb. zrušeno a </w:t>
      </w:r>
      <w:r w:rsidR="002A1146">
        <w:rPr>
          <w:szCs w:val="22"/>
        </w:rPr>
        <w:t>nové nařízení</w:t>
      </w:r>
      <w:r w:rsidRPr="00CE2CED">
        <w:rPr>
          <w:szCs w:val="22"/>
        </w:rPr>
        <w:t xml:space="preserve"> č.</w:t>
      </w:r>
      <w:r w:rsidR="00EA108C">
        <w:rPr>
          <w:szCs w:val="22"/>
        </w:rPr>
        <w:t> </w:t>
      </w:r>
      <w:r w:rsidRPr="00CE2CED">
        <w:rPr>
          <w:szCs w:val="22"/>
        </w:rPr>
        <w:t xml:space="preserve">401/2015 Sb. již neobsahuje NEK pro sedimenty, ale </w:t>
      </w:r>
      <w:r w:rsidR="008B27A4" w:rsidRPr="00CE2CED">
        <w:rPr>
          <w:szCs w:val="22"/>
        </w:rPr>
        <w:t xml:space="preserve">pouze </w:t>
      </w:r>
      <w:r w:rsidRPr="00CE2CED">
        <w:rPr>
          <w:szCs w:val="22"/>
        </w:rPr>
        <w:t>pro biotu.</w:t>
      </w:r>
      <w:r w:rsidR="000F741D" w:rsidRPr="00CE2CED">
        <w:rPr>
          <w:szCs w:val="22"/>
        </w:rPr>
        <w:t xml:space="preserve"> Vstoupením nové</w:t>
      </w:r>
      <w:r w:rsidR="002A1146">
        <w:rPr>
          <w:szCs w:val="22"/>
        </w:rPr>
        <w:t>ho</w:t>
      </w:r>
      <w:r w:rsidR="000F741D" w:rsidRPr="00CE2CED">
        <w:rPr>
          <w:szCs w:val="22"/>
        </w:rPr>
        <w:t xml:space="preserve"> </w:t>
      </w:r>
      <w:r w:rsidR="002A1146">
        <w:rPr>
          <w:szCs w:val="22"/>
        </w:rPr>
        <w:t>nařízení</w:t>
      </w:r>
      <w:r w:rsidR="002A1146" w:rsidRPr="00CE2CED">
        <w:rPr>
          <w:szCs w:val="22"/>
        </w:rPr>
        <w:t xml:space="preserve"> </w:t>
      </w:r>
      <w:r w:rsidR="002A1146">
        <w:rPr>
          <w:szCs w:val="22"/>
        </w:rPr>
        <w:t xml:space="preserve">č. </w:t>
      </w:r>
      <w:r w:rsidR="000F741D" w:rsidRPr="00CE2CED">
        <w:rPr>
          <w:szCs w:val="22"/>
        </w:rPr>
        <w:t xml:space="preserve">401/2015 Sb. v platnost dne 1. 1. 2016 </w:t>
      </w:r>
      <w:r w:rsidR="00DC7E17" w:rsidRPr="00CE2CED">
        <w:rPr>
          <w:szCs w:val="22"/>
        </w:rPr>
        <w:t xml:space="preserve">tak </w:t>
      </w:r>
      <w:r w:rsidR="000F741D" w:rsidRPr="00CE2CED">
        <w:rPr>
          <w:szCs w:val="22"/>
        </w:rPr>
        <w:t xml:space="preserve">HPH deseti prioritních látek relevantních pro Labe </w:t>
      </w:r>
      <w:r w:rsidR="00DC7E17" w:rsidRPr="00CE2CED">
        <w:rPr>
          <w:szCs w:val="22"/>
        </w:rPr>
        <w:t xml:space="preserve">formálně pozbyly </w:t>
      </w:r>
      <w:r w:rsidR="000F741D" w:rsidRPr="00CE2CED">
        <w:rPr>
          <w:szCs w:val="22"/>
        </w:rPr>
        <w:t>svůj právní základ. Z tohoto důvodu je nutné rozhodnout, jaké HPH u těchto látek mají do budoucna platit.</w:t>
      </w:r>
    </w:p>
    <w:p w14:paraId="313891ED" w14:textId="77777777" w:rsidR="00D06E93" w:rsidRPr="00D06E93" w:rsidRDefault="00D06E93">
      <w:pPr>
        <w:rPr>
          <w:szCs w:val="22"/>
        </w:rPr>
      </w:pPr>
    </w:p>
    <w:p w14:paraId="62430D08" w14:textId="77777777" w:rsidR="00D06E93" w:rsidRPr="00D06E93" w:rsidRDefault="00D06E93">
      <w:pPr>
        <w:rPr>
          <w:szCs w:val="22"/>
        </w:rPr>
      </w:pPr>
      <w:r>
        <w:rPr>
          <w:szCs w:val="22"/>
        </w:rPr>
        <w:t xml:space="preserve">U čtyř znečišťujících látek jsou požadavky právních předpisů </w:t>
      </w:r>
      <w:r w:rsidR="003A12F6">
        <w:rPr>
          <w:szCs w:val="22"/>
        </w:rPr>
        <w:t>použitých pro stanovení HPH nejpřísnější ze všech a tvoří tak současně také DPH. Týká se to látek nikl</w:t>
      </w:r>
      <w:r w:rsidR="001B4907">
        <w:rPr>
          <w:szCs w:val="22"/>
        </w:rPr>
        <w:t xml:space="preserve"> (HPH = </w:t>
      </w:r>
      <w:r w:rsidR="00B26671">
        <w:rPr>
          <w:szCs w:val="22"/>
        </w:rPr>
        <w:t xml:space="preserve">DPH = </w:t>
      </w:r>
      <w:r w:rsidR="001B4907">
        <w:rPr>
          <w:szCs w:val="22"/>
        </w:rPr>
        <w:t>3 mg/kg)</w:t>
      </w:r>
      <w:r w:rsidR="003A12F6">
        <w:rPr>
          <w:szCs w:val="22"/>
        </w:rPr>
        <w:t xml:space="preserve">, </w:t>
      </w:r>
      <w:proofErr w:type="spellStart"/>
      <w:r w:rsidR="003A12F6">
        <w:rPr>
          <w:szCs w:val="22"/>
        </w:rPr>
        <w:t>fluoranthen</w:t>
      </w:r>
      <w:proofErr w:type="spellEnd"/>
      <w:r w:rsidR="003A12F6">
        <w:rPr>
          <w:szCs w:val="22"/>
        </w:rPr>
        <w:t xml:space="preserve"> </w:t>
      </w:r>
      <w:r w:rsidR="001B4907">
        <w:rPr>
          <w:szCs w:val="22"/>
        </w:rPr>
        <w:t xml:space="preserve">(HPH = </w:t>
      </w:r>
      <w:r w:rsidR="00B26671">
        <w:rPr>
          <w:szCs w:val="22"/>
        </w:rPr>
        <w:t xml:space="preserve">DPH = </w:t>
      </w:r>
      <w:r w:rsidR="001B4907">
        <w:rPr>
          <w:szCs w:val="22"/>
        </w:rPr>
        <w:t xml:space="preserve">0,18 mg/kg) </w:t>
      </w:r>
      <w:r w:rsidR="003A12F6">
        <w:rPr>
          <w:szCs w:val="22"/>
        </w:rPr>
        <w:t xml:space="preserve">a kation </w:t>
      </w:r>
      <w:proofErr w:type="spellStart"/>
      <w:r w:rsidR="003A12F6">
        <w:rPr>
          <w:szCs w:val="22"/>
        </w:rPr>
        <w:t>tributylcínu</w:t>
      </w:r>
      <w:proofErr w:type="spellEnd"/>
      <w:r w:rsidR="00AD189E">
        <w:rPr>
          <w:szCs w:val="22"/>
        </w:rPr>
        <w:t xml:space="preserve"> (TBT</w:t>
      </w:r>
      <w:r w:rsidR="001B4907">
        <w:rPr>
          <w:szCs w:val="22"/>
        </w:rPr>
        <w:t xml:space="preserve">, HPH = </w:t>
      </w:r>
      <w:r w:rsidR="00B26671">
        <w:rPr>
          <w:szCs w:val="22"/>
        </w:rPr>
        <w:t>DPH =</w:t>
      </w:r>
      <w:r w:rsidR="001B4907">
        <w:rPr>
          <w:szCs w:val="22"/>
        </w:rPr>
        <w:t xml:space="preserve">0,02 </w:t>
      </w:r>
      <w:proofErr w:type="spellStart"/>
      <w:r w:rsidR="001B4907">
        <w:rPr>
          <w:rFonts w:cs="Arial"/>
          <w:szCs w:val="22"/>
        </w:rPr>
        <w:t>μ</w:t>
      </w:r>
      <w:r w:rsidR="001B4907">
        <w:rPr>
          <w:szCs w:val="22"/>
        </w:rPr>
        <w:t>g</w:t>
      </w:r>
      <w:proofErr w:type="spellEnd"/>
      <w:r w:rsidR="001B4907">
        <w:rPr>
          <w:szCs w:val="22"/>
        </w:rPr>
        <w:t>/kg</w:t>
      </w:r>
      <w:r w:rsidR="00AD189E">
        <w:rPr>
          <w:szCs w:val="22"/>
        </w:rPr>
        <w:t>)</w:t>
      </w:r>
      <w:r w:rsidR="003A12F6">
        <w:rPr>
          <w:szCs w:val="22"/>
        </w:rPr>
        <w:t xml:space="preserve">, u kterých bylo zdrojem obou prahových hodnot české nařízení 23/2011 Sb., a také </w:t>
      </w:r>
      <w:r w:rsidR="003A12F6">
        <w:rPr>
          <w:rFonts w:cs="Arial"/>
          <w:szCs w:val="22"/>
        </w:rPr>
        <w:t>β</w:t>
      </w:r>
      <w:r w:rsidR="003A12F6">
        <w:rPr>
          <w:szCs w:val="22"/>
        </w:rPr>
        <w:t>-</w:t>
      </w:r>
      <w:proofErr w:type="spellStart"/>
      <w:r w:rsidR="003A12F6">
        <w:rPr>
          <w:szCs w:val="22"/>
        </w:rPr>
        <w:t>hexachlorcyklohexan</w:t>
      </w:r>
      <w:r w:rsidR="008422FF">
        <w:rPr>
          <w:szCs w:val="22"/>
        </w:rPr>
        <w:t>u</w:t>
      </w:r>
      <w:proofErr w:type="spellEnd"/>
      <w:r w:rsidR="00AD189E">
        <w:rPr>
          <w:szCs w:val="22"/>
        </w:rPr>
        <w:t xml:space="preserve"> (</w:t>
      </w:r>
      <w:r w:rsidR="00AD189E">
        <w:rPr>
          <w:rFonts w:cs="Arial"/>
          <w:szCs w:val="22"/>
        </w:rPr>
        <w:t>β</w:t>
      </w:r>
      <w:r w:rsidR="00AD189E">
        <w:rPr>
          <w:szCs w:val="22"/>
        </w:rPr>
        <w:t>-HCH</w:t>
      </w:r>
      <w:r w:rsidR="001B4907">
        <w:rPr>
          <w:szCs w:val="22"/>
        </w:rPr>
        <w:t xml:space="preserve">, HPH = </w:t>
      </w:r>
      <w:r w:rsidR="00B26671">
        <w:rPr>
          <w:szCs w:val="22"/>
        </w:rPr>
        <w:t xml:space="preserve">DPH = </w:t>
      </w:r>
      <w:r w:rsidR="001B4907">
        <w:rPr>
          <w:szCs w:val="22"/>
        </w:rPr>
        <w:t xml:space="preserve">5 </w:t>
      </w:r>
      <w:proofErr w:type="spellStart"/>
      <w:r w:rsidR="001B4907">
        <w:rPr>
          <w:rFonts w:cs="Arial"/>
          <w:szCs w:val="22"/>
        </w:rPr>
        <w:t>μ</w:t>
      </w:r>
      <w:r w:rsidR="001B4907">
        <w:rPr>
          <w:szCs w:val="22"/>
        </w:rPr>
        <w:t>g</w:t>
      </w:r>
      <w:proofErr w:type="spellEnd"/>
      <w:r w:rsidR="001B4907">
        <w:rPr>
          <w:szCs w:val="22"/>
        </w:rPr>
        <w:t>/kg</w:t>
      </w:r>
      <w:r w:rsidR="00AD189E">
        <w:rPr>
          <w:szCs w:val="22"/>
        </w:rPr>
        <w:t>)</w:t>
      </w:r>
      <w:r w:rsidR="003A12F6">
        <w:rPr>
          <w:szCs w:val="22"/>
        </w:rPr>
        <w:t>, u kterého je zdrojem obou prahových hodnot německá Spolková vyhláška o maximálním množství reziduí pesticidů a insekticidů (</w:t>
      </w:r>
      <w:proofErr w:type="spellStart"/>
      <w:r w:rsidR="003A12F6">
        <w:rPr>
          <w:szCs w:val="22"/>
        </w:rPr>
        <w:t>RHmV</w:t>
      </w:r>
      <w:proofErr w:type="spellEnd"/>
      <w:r w:rsidR="003A12F6">
        <w:rPr>
          <w:szCs w:val="22"/>
        </w:rPr>
        <w:t>)</w:t>
      </w:r>
      <w:r w:rsidR="003A12F6">
        <w:rPr>
          <w:rStyle w:val="Znakapoznpodarou"/>
          <w:szCs w:val="22"/>
        </w:rPr>
        <w:footnoteReference w:id="3"/>
      </w:r>
      <w:r w:rsidR="003A12F6">
        <w:rPr>
          <w:szCs w:val="22"/>
        </w:rPr>
        <w:t>.</w:t>
      </w:r>
      <w:r w:rsidR="00BD2C9C">
        <w:rPr>
          <w:szCs w:val="22"/>
        </w:rPr>
        <w:t xml:space="preserve"> </w:t>
      </w:r>
      <w:r w:rsidR="00BD2C9C">
        <w:rPr>
          <w:rFonts w:cs="Arial"/>
        </w:rPr>
        <w:t xml:space="preserve">Aby bylo </w:t>
      </w:r>
      <w:r w:rsidR="00BD2C9C" w:rsidRPr="00E464CF">
        <w:rPr>
          <w:rFonts w:cs="Arial"/>
        </w:rPr>
        <w:t>m</w:t>
      </w:r>
      <w:r w:rsidR="00BD2C9C">
        <w:rPr>
          <w:rFonts w:cs="Arial"/>
        </w:rPr>
        <w:t>ožné odstupňování mezi dolní a horní prahovou hodnotou</w:t>
      </w:r>
      <w:r w:rsidR="0063253F">
        <w:rPr>
          <w:rFonts w:cs="Arial"/>
        </w:rPr>
        <w:t>, měly by být  pro tyto látky stanoveny</w:t>
      </w:r>
      <w:r w:rsidR="00BD2C9C">
        <w:rPr>
          <w:rFonts w:cs="Arial"/>
        </w:rPr>
        <w:t xml:space="preserve"> nové horní prahové hodnoty</w:t>
      </w:r>
      <w:r w:rsidR="00BD2C9C" w:rsidRPr="00E464CF">
        <w:t>.</w:t>
      </w:r>
    </w:p>
    <w:p w14:paraId="4157E73D" w14:textId="77777777" w:rsidR="00D06E93" w:rsidRPr="00D06E93" w:rsidRDefault="00D06E93">
      <w:pPr>
        <w:rPr>
          <w:szCs w:val="22"/>
        </w:rPr>
      </w:pPr>
    </w:p>
    <w:p w14:paraId="644EE83F" w14:textId="77777777" w:rsidR="008B5390" w:rsidRPr="008B5390" w:rsidRDefault="008B5390">
      <w:pPr>
        <w:rPr>
          <w:szCs w:val="22"/>
        </w:rPr>
      </w:pPr>
    </w:p>
    <w:p w14:paraId="4230B7F7" w14:textId="77777777" w:rsidR="008D4678" w:rsidRDefault="008D4678">
      <w:pPr>
        <w:jc w:val="left"/>
        <w:rPr>
          <w:rFonts w:ascii="Arial Fett" w:hAnsi="Arial Fett" w:cs="Arial"/>
          <w:b/>
          <w:bCs/>
          <w:kern w:val="32"/>
          <w:szCs w:val="32"/>
        </w:rPr>
      </w:pPr>
      <w:r>
        <w:br w:type="page"/>
      </w:r>
    </w:p>
    <w:p w14:paraId="620E5AF7" w14:textId="77777777" w:rsidR="00466901" w:rsidRDefault="00D06E93">
      <w:pPr>
        <w:pStyle w:val="Nadpis1"/>
      </w:pPr>
      <w:r>
        <w:lastRenderedPageBreak/>
        <w:t>Návrh řešení</w:t>
      </w:r>
    </w:p>
    <w:p w14:paraId="5BC4A692" w14:textId="77777777" w:rsidR="00D06E93" w:rsidRPr="008B5390" w:rsidRDefault="00D06E93" w:rsidP="00D06E93">
      <w:pPr>
        <w:rPr>
          <w:szCs w:val="22"/>
        </w:rPr>
      </w:pPr>
      <w:r w:rsidRPr="00CE2CED">
        <w:rPr>
          <w:szCs w:val="22"/>
        </w:rPr>
        <w:t xml:space="preserve">I když byly NEK pro sedimenty na české straně zrušeny, </w:t>
      </w:r>
      <w:r w:rsidR="0063253F" w:rsidRPr="00CE2CED">
        <w:rPr>
          <w:szCs w:val="22"/>
        </w:rPr>
        <w:t xml:space="preserve">mají být </w:t>
      </w:r>
      <w:r w:rsidRPr="00CE2CED">
        <w:rPr>
          <w:szCs w:val="22"/>
        </w:rPr>
        <w:t xml:space="preserve">prahové hodnoty stanovené na základě těchto NEK zachovány. </w:t>
      </w:r>
      <w:r w:rsidR="0063253F" w:rsidRPr="00CE2CED">
        <w:rPr>
          <w:szCs w:val="22"/>
        </w:rPr>
        <w:t xml:space="preserve">Důvodem je, že </w:t>
      </w:r>
      <w:r w:rsidR="0063253F" w:rsidRPr="00CE2CED">
        <w:rPr>
          <w:rFonts w:cs="Arial"/>
          <w:szCs w:val="22"/>
        </w:rPr>
        <w:t xml:space="preserve">údaje koncentrací pro </w:t>
      </w:r>
      <w:r w:rsidR="00514600" w:rsidRPr="00CE2CED">
        <w:rPr>
          <w:rFonts w:cs="Arial"/>
          <w:szCs w:val="22"/>
        </w:rPr>
        <w:t xml:space="preserve">tyto </w:t>
      </w:r>
      <w:r w:rsidR="0063253F" w:rsidRPr="00CE2CED">
        <w:rPr>
          <w:rFonts w:cs="Arial"/>
          <w:szCs w:val="22"/>
        </w:rPr>
        <w:t xml:space="preserve">NEK odpovídají standardům kvality odvozeným na základě metodiky </w:t>
      </w:r>
      <w:r w:rsidR="00514600" w:rsidRPr="00CE2CED">
        <w:rPr>
          <w:rFonts w:cs="Arial"/>
          <w:szCs w:val="22"/>
        </w:rPr>
        <w:t>u</w:t>
      </w:r>
      <w:r w:rsidR="002E2650" w:rsidRPr="00CE2CED">
        <w:rPr>
          <w:rFonts w:cs="Arial"/>
          <w:szCs w:val="22"/>
        </w:rPr>
        <w:t>vede</w:t>
      </w:r>
      <w:r w:rsidR="00514600" w:rsidRPr="00CE2CED">
        <w:rPr>
          <w:rFonts w:cs="Arial"/>
          <w:szCs w:val="22"/>
        </w:rPr>
        <w:t>né v Technickém směrném dokumentu (TGD) č. 27 Evropské komise (EC 2011)</w:t>
      </w:r>
      <w:r w:rsidR="00514600" w:rsidRPr="00CE2CED">
        <w:rPr>
          <w:rStyle w:val="Znakapoznpodarou"/>
          <w:rFonts w:cs="Arial"/>
          <w:szCs w:val="22"/>
        </w:rPr>
        <w:footnoteReference w:id="4"/>
      </w:r>
      <w:r w:rsidR="002E2650" w:rsidRPr="00CE2CED">
        <w:rPr>
          <w:szCs w:val="22"/>
        </w:rPr>
        <w:t xml:space="preserve">. Blíže k tomu viz příloha 1. </w:t>
      </w:r>
      <w:r w:rsidR="00BB79C5" w:rsidRPr="00CE2CED">
        <w:rPr>
          <w:szCs w:val="22"/>
        </w:rPr>
        <w:t xml:space="preserve">Tyto </w:t>
      </w:r>
      <w:r w:rsidRPr="00CE2CED">
        <w:rPr>
          <w:szCs w:val="22"/>
        </w:rPr>
        <w:t xml:space="preserve">odborné základy </w:t>
      </w:r>
      <w:r w:rsidR="00BB79C5" w:rsidRPr="00CE2CED">
        <w:rPr>
          <w:szCs w:val="22"/>
        </w:rPr>
        <w:t>údajů koncentrací pro NEK</w:t>
      </w:r>
      <w:r w:rsidR="000A162D" w:rsidRPr="00CE2CED">
        <w:rPr>
          <w:szCs w:val="22"/>
        </w:rPr>
        <w:t xml:space="preserve"> se</w:t>
      </w:r>
      <w:r w:rsidR="00BB79C5" w:rsidRPr="00CE2CED">
        <w:rPr>
          <w:szCs w:val="22"/>
        </w:rPr>
        <w:t xml:space="preserve"> </w:t>
      </w:r>
      <w:r w:rsidRPr="00CE2CED">
        <w:rPr>
          <w:szCs w:val="22"/>
        </w:rPr>
        <w:t>nezměnily</w:t>
      </w:r>
      <w:r w:rsidR="00BB79C5" w:rsidRPr="00CE2CED">
        <w:rPr>
          <w:szCs w:val="22"/>
        </w:rPr>
        <w:t>, takže příslušné prahové hodnoty mohou být nadále zachovány</w:t>
      </w:r>
      <w:r w:rsidRPr="00CE2CED">
        <w:rPr>
          <w:szCs w:val="22"/>
        </w:rPr>
        <w:t>.</w:t>
      </w:r>
    </w:p>
    <w:p w14:paraId="22371E03" w14:textId="77777777" w:rsidR="00D06E93" w:rsidRDefault="00D06E93" w:rsidP="00D06E93"/>
    <w:p w14:paraId="37870CF1" w14:textId="77777777" w:rsidR="00B55502" w:rsidRDefault="00A4383F" w:rsidP="00D06E93">
      <w:r w:rsidRPr="0035358C">
        <w:rPr>
          <w:rFonts w:cs="Arial"/>
          <w:szCs w:val="22"/>
        </w:rPr>
        <w:t>Pokud bude znečišťujícím látkám relevantním pro Labe odebrán původně zvolený formální referenční zdroj, měl</w:t>
      </w:r>
      <w:r>
        <w:rPr>
          <w:rFonts w:cs="Arial"/>
          <w:szCs w:val="22"/>
        </w:rPr>
        <w:t>a</w:t>
      </w:r>
      <w:r w:rsidRPr="0035358C">
        <w:rPr>
          <w:rFonts w:cs="Arial"/>
          <w:szCs w:val="22"/>
        </w:rPr>
        <w:t xml:space="preserve"> by namísto toho být aplikována platná usnesení daných grémií (FGG Elbe a MKOL). V důsledku toho je tedy v těchto konkrétních případech v budoucnu třeba uvádět jako zdroje „FGG Elbe 2013, MKOL 2014“, resp. datum aktualizace prahové hodnoty</w:t>
      </w:r>
      <w:r w:rsidRPr="0035358C">
        <w:rPr>
          <w:rFonts w:cs="Arial"/>
          <w:color w:val="000000"/>
          <w:szCs w:val="22"/>
        </w:rPr>
        <w:t>.</w:t>
      </w:r>
      <w:r>
        <w:rPr>
          <w:rFonts w:cs="Arial"/>
          <w:color w:val="000000"/>
          <w:szCs w:val="22"/>
        </w:rPr>
        <w:t xml:space="preserve"> </w:t>
      </w:r>
      <w:r w:rsidRPr="0035358C">
        <w:rPr>
          <w:rFonts w:cs="Arial"/>
          <w:szCs w:val="22"/>
        </w:rPr>
        <w:t xml:space="preserve">Jinak tomu bude v případech, budou-li získány nové odborné poznatky ohledně rizikovosti znečišťující látky pro životní prostředí. Ty pak budou muset být odpovídajícím způsobem </w:t>
      </w:r>
      <w:r>
        <w:rPr>
          <w:rFonts w:cs="Arial"/>
          <w:szCs w:val="22"/>
        </w:rPr>
        <w:t>zohledněny. V </w:t>
      </w:r>
      <w:r w:rsidRPr="0035358C">
        <w:rPr>
          <w:rFonts w:cs="Arial"/>
          <w:szCs w:val="22"/>
        </w:rPr>
        <w:t>současné době tomu tak však není</w:t>
      </w:r>
      <w:r w:rsidRPr="0035358C">
        <w:rPr>
          <w:rFonts w:cs="Arial"/>
          <w:color w:val="000000"/>
          <w:szCs w:val="22"/>
        </w:rPr>
        <w:t>.</w:t>
      </w:r>
    </w:p>
    <w:p w14:paraId="530847B3" w14:textId="77777777" w:rsidR="00B55502" w:rsidRDefault="00B55502" w:rsidP="00D06E93"/>
    <w:p w14:paraId="7FB3892C" w14:textId="77777777" w:rsidR="00D06E93" w:rsidRDefault="00D06E93"/>
    <w:p w14:paraId="25A25373" w14:textId="77777777" w:rsidR="00202016" w:rsidRDefault="00202016">
      <w:r>
        <w:t xml:space="preserve">Pro </w:t>
      </w:r>
      <w:r w:rsidRPr="00202016">
        <w:rPr>
          <w:b/>
        </w:rPr>
        <w:t xml:space="preserve">nikl, </w:t>
      </w:r>
      <w:proofErr w:type="spellStart"/>
      <w:r w:rsidRPr="00202016">
        <w:rPr>
          <w:b/>
        </w:rPr>
        <w:t>fluoranthen</w:t>
      </w:r>
      <w:proofErr w:type="spellEnd"/>
      <w:r w:rsidRPr="00202016">
        <w:rPr>
          <w:b/>
        </w:rPr>
        <w:t xml:space="preserve"> a </w:t>
      </w:r>
      <w:r w:rsidR="00AD189E">
        <w:rPr>
          <w:b/>
        </w:rPr>
        <w:t>TBT</w:t>
      </w:r>
      <w:r>
        <w:t xml:space="preserve"> jsou navrhovány </w:t>
      </w:r>
      <w:r w:rsidRPr="00202016">
        <w:rPr>
          <w:b/>
        </w:rPr>
        <w:t>nové HPH</w:t>
      </w:r>
      <w:r>
        <w:t>:</w:t>
      </w:r>
    </w:p>
    <w:p w14:paraId="5F681CFF" w14:textId="77777777" w:rsidR="00202016" w:rsidRDefault="00202016"/>
    <w:p w14:paraId="382D41A6" w14:textId="77777777" w:rsidR="00202016" w:rsidRDefault="00AF30AB">
      <w:r w:rsidRPr="005A579E">
        <w:rPr>
          <w:b/>
          <w:u w:val="single"/>
        </w:rPr>
        <w:t>Nikl:</w:t>
      </w:r>
    </w:p>
    <w:p w14:paraId="3B3C3D12" w14:textId="77777777" w:rsidR="00202016" w:rsidRDefault="00AF30AB" w:rsidP="00AF30AB">
      <w:r>
        <w:rPr>
          <w:rFonts w:cs="Arial"/>
        </w:rPr>
        <w:t>V Koncepc</w:t>
      </w:r>
      <w:r w:rsidRPr="00E464CF">
        <w:rPr>
          <w:rFonts w:cs="Arial"/>
        </w:rPr>
        <w:t>i</w:t>
      </w:r>
      <w:r>
        <w:rPr>
          <w:rFonts w:cs="Arial"/>
        </w:rPr>
        <w:t xml:space="preserve"> pro nakládání s</w:t>
      </w:r>
      <w:r w:rsidRPr="00E464CF">
        <w:rPr>
          <w:rFonts w:cs="Arial"/>
        </w:rPr>
        <w:t>e</w:t>
      </w:r>
      <w:r>
        <w:rPr>
          <w:rFonts w:cs="Arial"/>
        </w:rPr>
        <w:t xml:space="preserve"> s</w:t>
      </w:r>
      <w:r w:rsidRPr="00E464CF">
        <w:rPr>
          <w:rFonts w:cs="Arial"/>
        </w:rPr>
        <w:t>ediment</w:t>
      </w:r>
      <w:r>
        <w:rPr>
          <w:rFonts w:cs="Arial"/>
        </w:rPr>
        <w:t>y</w:t>
      </w:r>
      <w:r w:rsidRPr="00E464CF">
        <w:rPr>
          <w:rFonts w:cs="Arial"/>
        </w:rPr>
        <w:t xml:space="preserve"> </w:t>
      </w:r>
      <w:r>
        <w:rPr>
          <w:rFonts w:cs="Arial"/>
        </w:rPr>
        <w:t>je vysvětleno</w:t>
      </w:r>
      <w:r w:rsidRPr="00E464CF">
        <w:rPr>
          <w:rFonts w:cs="Arial"/>
        </w:rPr>
        <w:t xml:space="preserve">, </w:t>
      </w:r>
      <w:r>
        <w:rPr>
          <w:rFonts w:cs="Arial"/>
        </w:rPr>
        <w:t>že př</w:t>
      </w:r>
      <w:r w:rsidRPr="00E464CF">
        <w:rPr>
          <w:rFonts w:cs="Arial"/>
        </w:rPr>
        <w:t xml:space="preserve">i </w:t>
      </w:r>
      <w:r>
        <w:rPr>
          <w:rFonts w:cs="Arial"/>
        </w:rPr>
        <w:t xml:space="preserve">hodnocení látek je třeba brát v úvahu přirozené </w:t>
      </w:r>
      <w:proofErr w:type="spellStart"/>
      <w:r>
        <w:rPr>
          <w:rFonts w:cs="Arial"/>
        </w:rPr>
        <w:t>geogenní</w:t>
      </w:r>
      <w:proofErr w:type="spellEnd"/>
      <w:r>
        <w:rPr>
          <w:rFonts w:cs="Arial"/>
        </w:rPr>
        <w:t xml:space="preserve"> pozadí</w:t>
      </w:r>
      <w:r w:rsidRPr="00E464CF">
        <w:rPr>
          <w:rFonts w:cs="Arial"/>
        </w:rPr>
        <w:t xml:space="preserve">. </w:t>
      </w:r>
      <w:r>
        <w:rPr>
          <w:rFonts w:cs="Arial"/>
        </w:rPr>
        <w:t xml:space="preserve">Pro povodí Labe dosahuje u niklu hodnota </w:t>
      </w:r>
      <w:proofErr w:type="spellStart"/>
      <w:r>
        <w:rPr>
          <w:rFonts w:cs="Arial"/>
        </w:rPr>
        <w:t>geogenního</w:t>
      </w:r>
      <w:proofErr w:type="spellEnd"/>
      <w:r>
        <w:rPr>
          <w:rFonts w:cs="Arial"/>
        </w:rPr>
        <w:t xml:space="preserve"> pozadí</w:t>
      </w:r>
      <w:r w:rsidRPr="00E464CF">
        <w:rPr>
          <w:rFonts w:cs="Arial"/>
        </w:rPr>
        <w:t xml:space="preserve"> </w:t>
      </w:r>
      <w:r>
        <w:rPr>
          <w:rFonts w:cs="Arial"/>
        </w:rPr>
        <w:t xml:space="preserve">dle </w:t>
      </w:r>
      <w:proofErr w:type="spellStart"/>
      <w:r w:rsidRPr="00E464CF">
        <w:rPr>
          <w:rFonts w:cs="Arial"/>
        </w:rPr>
        <w:t>Prange</w:t>
      </w:r>
      <w:r>
        <w:rPr>
          <w:rFonts w:cs="Arial"/>
        </w:rPr>
        <w:t>ho</w:t>
      </w:r>
      <w:proofErr w:type="spellEnd"/>
      <w:r w:rsidRPr="00E464CF">
        <w:rPr>
          <w:rFonts w:cs="Arial"/>
        </w:rPr>
        <w:t xml:space="preserve"> et al. (1997) 53 mg/kg. </w:t>
      </w:r>
      <w:r>
        <w:rPr>
          <w:rFonts w:cs="Arial"/>
        </w:rPr>
        <w:t xml:space="preserve">Snížení koncentrací na požadovanou normu </w:t>
      </w:r>
      <w:r w:rsidRPr="00E464CF">
        <w:rPr>
          <w:rFonts w:cs="Arial"/>
        </w:rPr>
        <w:t xml:space="preserve">3 mg/kg </w:t>
      </w:r>
      <w:r>
        <w:rPr>
          <w:rFonts w:cs="Arial"/>
        </w:rPr>
        <w:t>je tedy vyloučeno</w:t>
      </w:r>
      <w:r w:rsidRPr="00E464CF">
        <w:rPr>
          <w:rFonts w:cs="Arial"/>
        </w:rPr>
        <w:t xml:space="preserve">. </w:t>
      </w:r>
      <w:r>
        <w:rPr>
          <w:rFonts w:cs="Arial"/>
        </w:rPr>
        <w:t xml:space="preserve">Proto by pro horní prahovou hodnotu měla být jako návrh upřednostňována hodnota </w:t>
      </w:r>
      <w:proofErr w:type="spellStart"/>
      <w:r>
        <w:rPr>
          <w:rFonts w:cs="Arial"/>
        </w:rPr>
        <w:t>geogenního</w:t>
      </w:r>
      <w:proofErr w:type="spellEnd"/>
      <w:r>
        <w:rPr>
          <w:rFonts w:cs="Arial"/>
        </w:rPr>
        <w:t xml:space="preserve"> pozadí ve výši</w:t>
      </w:r>
      <w:r w:rsidRPr="00E464CF">
        <w:rPr>
          <w:rFonts w:cs="Arial"/>
        </w:rPr>
        <w:t xml:space="preserve"> 53 mg/kg</w:t>
      </w:r>
      <w:r w:rsidRPr="00E464CF">
        <w:t>.</w:t>
      </w:r>
    </w:p>
    <w:p w14:paraId="10FFA51F" w14:textId="77777777" w:rsidR="00AF30AB" w:rsidRDefault="00AF30AB"/>
    <w:p w14:paraId="3A6E57F9" w14:textId="77777777" w:rsidR="00AF30AB" w:rsidRDefault="00AF30AB">
      <w:pPr>
        <w:rPr>
          <w:b/>
          <w:u w:val="single"/>
        </w:rPr>
      </w:pPr>
      <w:proofErr w:type="spellStart"/>
      <w:r w:rsidRPr="005A579E">
        <w:rPr>
          <w:b/>
          <w:u w:val="single"/>
        </w:rPr>
        <w:t>Fluoranthen</w:t>
      </w:r>
      <w:proofErr w:type="spellEnd"/>
      <w:r w:rsidRPr="005A579E">
        <w:rPr>
          <w:b/>
          <w:u w:val="single"/>
        </w:rPr>
        <w:t>:</w:t>
      </w:r>
    </w:p>
    <w:p w14:paraId="3631D0C3" w14:textId="27CBAB13" w:rsidR="00AF30AB" w:rsidRPr="00AF30AB" w:rsidRDefault="00AF30AB">
      <w:r>
        <w:rPr>
          <w:rFonts w:cs="Arial"/>
        </w:rPr>
        <w:t xml:space="preserve">Aby bylo </w:t>
      </w:r>
      <w:r w:rsidRPr="00E464CF">
        <w:rPr>
          <w:rFonts w:cs="Arial"/>
        </w:rPr>
        <w:t>m</w:t>
      </w:r>
      <w:r>
        <w:rPr>
          <w:rFonts w:cs="Arial"/>
        </w:rPr>
        <w:t>ožné připustit odstupňování mezi dolní a horní prahovou hodnotou</w:t>
      </w:r>
      <w:r w:rsidRPr="00E464CF">
        <w:rPr>
          <w:rFonts w:cs="Arial"/>
        </w:rPr>
        <w:t xml:space="preserve">, </w:t>
      </w:r>
      <w:r>
        <w:rPr>
          <w:rFonts w:cs="Arial"/>
        </w:rPr>
        <w:t>lze podle klasifikačního přístupu</w:t>
      </w:r>
      <w:r w:rsidRPr="00E464CF">
        <w:rPr>
          <w:rFonts w:cs="Arial"/>
        </w:rPr>
        <w:t xml:space="preserve"> FGG Elbe / </w:t>
      </w:r>
      <w:r>
        <w:rPr>
          <w:rFonts w:cs="Arial"/>
        </w:rPr>
        <w:t>M</w:t>
      </w:r>
      <w:r w:rsidRPr="00E464CF">
        <w:rPr>
          <w:rFonts w:cs="Arial"/>
        </w:rPr>
        <w:t>K</w:t>
      </w:r>
      <w:r>
        <w:rPr>
          <w:rFonts w:cs="Arial"/>
        </w:rPr>
        <w:t xml:space="preserve">OL k odvození horní prahové hodnoty </w:t>
      </w:r>
      <w:r w:rsidRPr="00E464CF">
        <w:rPr>
          <w:rFonts w:cs="Arial"/>
        </w:rPr>
        <w:t>k</w:t>
      </w:r>
      <w:r>
        <w:rPr>
          <w:rFonts w:cs="Arial"/>
        </w:rPr>
        <w:t>rok</w:t>
      </w:r>
      <w:r w:rsidRPr="00E464CF">
        <w:rPr>
          <w:rFonts w:cs="Arial"/>
        </w:rPr>
        <w:t xml:space="preserve"> 1</w:t>
      </w:r>
      <w:r>
        <w:rPr>
          <w:rFonts w:cs="Arial"/>
        </w:rPr>
        <w:t xml:space="preserve"> přeskočit a přejít přímo ke kroku </w:t>
      </w:r>
      <w:r w:rsidRPr="00E464CF">
        <w:rPr>
          <w:rFonts w:cs="Arial"/>
        </w:rPr>
        <w:t xml:space="preserve">2. </w:t>
      </w:r>
      <w:r>
        <w:rPr>
          <w:rFonts w:cs="Arial"/>
        </w:rPr>
        <w:t>Krok</w:t>
      </w:r>
      <w:r w:rsidRPr="00E464CF">
        <w:rPr>
          <w:rFonts w:cs="Arial"/>
        </w:rPr>
        <w:t xml:space="preserve"> 2 defin</w:t>
      </w:r>
      <w:r>
        <w:rPr>
          <w:rFonts w:cs="Arial"/>
        </w:rPr>
        <w:t>uje</w:t>
      </w:r>
      <w:r w:rsidRPr="00E464CF">
        <w:rPr>
          <w:rFonts w:cs="Arial"/>
        </w:rPr>
        <w:t xml:space="preserve"> h</w:t>
      </w:r>
      <w:r>
        <w:rPr>
          <w:rFonts w:cs="Arial"/>
        </w:rPr>
        <w:t>odnoty na ochranu vodních společenstev odvozené z ekotoxikologi</w:t>
      </w:r>
      <w:r w:rsidRPr="00E464CF">
        <w:rPr>
          <w:rFonts w:cs="Arial"/>
        </w:rPr>
        <w:t>c</w:t>
      </w:r>
      <w:r>
        <w:rPr>
          <w:rFonts w:cs="Arial"/>
        </w:rPr>
        <w:t>kého hlediska dle</w:t>
      </w:r>
      <w:r w:rsidRPr="00E464CF">
        <w:rPr>
          <w:rFonts w:cs="Arial"/>
        </w:rPr>
        <w:t xml:space="preserve"> </w:t>
      </w:r>
      <w:proofErr w:type="gramStart"/>
      <w:r w:rsidRPr="00E464CF">
        <w:rPr>
          <w:rFonts w:cs="Arial"/>
        </w:rPr>
        <w:t>de</w:t>
      </w:r>
      <w:proofErr w:type="gramEnd"/>
      <w:r w:rsidRPr="00E464CF">
        <w:rPr>
          <w:rFonts w:cs="Arial"/>
        </w:rPr>
        <w:t xml:space="preserve"> </w:t>
      </w:r>
      <w:proofErr w:type="spellStart"/>
      <w:r w:rsidRPr="00E464CF">
        <w:rPr>
          <w:rFonts w:cs="Arial"/>
        </w:rPr>
        <w:t>Deckere</w:t>
      </w:r>
      <w:r>
        <w:rPr>
          <w:rFonts w:cs="Arial"/>
        </w:rPr>
        <w:t>ho</w:t>
      </w:r>
      <w:proofErr w:type="spellEnd"/>
      <w:r w:rsidRPr="00E464CF">
        <w:rPr>
          <w:rFonts w:cs="Arial"/>
        </w:rPr>
        <w:t xml:space="preserve"> et al. (2011). </w:t>
      </w:r>
      <w:r>
        <w:rPr>
          <w:rFonts w:cs="Arial"/>
        </w:rPr>
        <w:t>Podle</w:t>
      </w:r>
      <w:r w:rsidRPr="00E464CF">
        <w:rPr>
          <w:rFonts w:cs="Arial"/>
        </w:rPr>
        <w:t xml:space="preserve"> </w:t>
      </w:r>
      <w:r w:rsidR="00DB2C4C">
        <w:rPr>
          <w:rFonts w:cs="Arial"/>
        </w:rPr>
        <w:t>toho</w:t>
      </w:r>
      <w:r w:rsidRPr="00E464CF">
        <w:rPr>
          <w:rFonts w:cs="Arial"/>
        </w:rPr>
        <w:t xml:space="preserve"> </w:t>
      </w:r>
      <w:r>
        <w:rPr>
          <w:rFonts w:cs="Arial"/>
        </w:rPr>
        <w:t>může být pro</w:t>
      </w:r>
      <w:r w:rsidRPr="00E464CF">
        <w:rPr>
          <w:rFonts w:cs="Arial"/>
        </w:rPr>
        <w:t xml:space="preserve"> </w:t>
      </w:r>
      <w:proofErr w:type="spellStart"/>
      <w:r w:rsidRPr="00E464CF">
        <w:rPr>
          <w:rFonts w:cs="Arial"/>
        </w:rPr>
        <w:t>fluoranthen</w:t>
      </w:r>
      <w:proofErr w:type="spellEnd"/>
      <w:r w:rsidRPr="00E464CF">
        <w:rPr>
          <w:rFonts w:cs="Arial"/>
        </w:rPr>
        <w:t xml:space="preserve"> </w:t>
      </w:r>
      <w:r>
        <w:rPr>
          <w:rFonts w:cs="Arial"/>
        </w:rPr>
        <w:t>použita hodnota</w:t>
      </w:r>
      <w:r w:rsidRPr="00E464CF">
        <w:rPr>
          <w:rFonts w:cs="Arial"/>
        </w:rPr>
        <w:t xml:space="preserve"> 0,25 mg/kg </w:t>
      </w:r>
      <w:r>
        <w:rPr>
          <w:rFonts w:cs="Arial"/>
        </w:rPr>
        <w:t>jako horní pr</w:t>
      </w:r>
      <w:r w:rsidRPr="00E464CF">
        <w:rPr>
          <w:rFonts w:cs="Arial"/>
        </w:rPr>
        <w:t>a</w:t>
      </w:r>
      <w:r>
        <w:rPr>
          <w:rFonts w:cs="Arial"/>
        </w:rPr>
        <w:t>hová hodnota</w:t>
      </w:r>
      <w:r w:rsidRPr="00E464CF">
        <w:rPr>
          <w:rFonts w:cs="Arial"/>
        </w:rPr>
        <w:t xml:space="preserve">, </w:t>
      </w:r>
      <w:r>
        <w:rPr>
          <w:rFonts w:cs="Arial"/>
        </w:rPr>
        <w:t>který odpovídá také kritériím environmentálního hodnocení (</w:t>
      </w:r>
      <w:proofErr w:type="spellStart"/>
      <w:r w:rsidRPr="00E464CF">
        <w:rPr>
          <w:rFonts w:cs="Arial"/>
        </w:rPr>
        <w:t>Environmental</w:t>
      </w:r>
      <w:proofErr w:type="spellEnd"/>
      <w:r w:rsidRPr="00E464CF">
        <w:rPr>
          <w:rFonts w:cs="Arial"/>
        </w:rPr>
        <w:t xml:space="preserve"> </w:t>
      </w:r>
      <w:proofErr w:type="spellStart"/>
      <w:r w:rsidRPr="00E464CF">
        <w:rPr>
          <w:rFonts w:cs="Arial"/>
        </w:rPr>
        <w:t>Assessment</w:t>
      </w:r>
      <w:proofErr w:type="spellEnd"/>
      <w:r w:rsidRPr="00E464CF">
        <w:rPr>
          <w:rFonts w:cs="Arial"/>
        </w:rPr>
        <w:t xml:space="preserve"> </w:t>
      </w:r>
      <w:proofErr w:type="spellStart"/>
      <w:r w:rsidRPr="00E464CF">
        <w:rPr>
          <w:rFonts w:cs="Arial"/>
        </w:rPr>
        <w:t>Criteria</w:t>
      </w:r>
      <w:proofErr w:type="spellEnd"/>
      <w:r>
        <w:rPr>
          <w:rFonts w:cs="Arial"/>
        </w:rPr>
        <w:t>) podle úmluvy</w:t>
      </w:r>
      <w:r w:rsidRPr="00E464CF">
        <w:rPr>
          <w:rFonts w:cs="Arial"/>
        </w:rPr>
        <w:t xml:space="preserve"> OSPAR</w:t>
      </w:r>
      <w:r>
        <w:t>.</w:t>
      </w:r>
    </w:p>
    <w:p w14:paraId="3022927F" w14:textId="77777777" w:rsidR="00AF30AB" w:rsidRPr="00AF30AB" w:rsidRDefault="00AF30AB"/>
    <w:p w14:paraId="395ADAD1" w14:textId="77777777" w:rsidR="00AF30AB" w:rsidRPr="00AF30AB" w:rsidRDefault="00AF30AB" w:rsidP="00AF30AB">
      <w:r w:rsidRPr="005A579E">
        <w:rPr>
          <w:b/>
          <w:u w:val="single"/>
        </w:rPr>
        <w:t>TBT:</w:t>
      </w:r>
    </w:p>
    <w:p w14:paraId="6D89651B" w14:textId="77777777" w:rsidR="00AF30AB" w:rsidRPr="00AF30AB" w:rsidRDefault="00AF30AB" w:rsidP="00AF30AB">
      <w:r>
        <w:rPr>
          <w:rFonts w:cs="Arial"/>
        </w:rPr>
        <w:t xml:space="preserve">Podobně jako u </w:t>
      </w:r>
      <w:proofErr w:type="spellStart"/>
      <w:r>
        <w:rPr>
          <w:rFonts w:cs="Arial"/>
        </w:rPr>
        <w:t>fluoranthenu</w:t>
      </w:r>
      <w:proofErr w:type="spellEnd"/>
      <w:r>
        <w:rPr>
          <w:rFonts w:cs="Arial"/>
        </w:rPr>
        <w:t xml:space="preserve"> lze pro vytvoření horní prahové hodnoty podle klasifikačního přístupu</w:t>
      </w:r>
      <w:r w:rsidRPr="00E464CF">
        <w:rPr>
          <w:rFonts w:cs="Arial"/>
        </w:rPr>
        <w:t xml:space="preserve"> FGG Elbe (2013) / </w:t>
      </w:r>
      <w:r>
        <w:rPr>
          <w:rFonts w:cs="Arial"/>
        </w:rPr>
        <w:t>M</w:t>
      </w:r>
      <w:r w:rsidRPr="00E464CF">
        <w:rPr>
          <w:rFonts w:cs="Arial"/>
        </w:rPr>
        <w:t>K</w:t>
      </w:r>
      <w:r>
        <w:rPr>
          <w:rFonts w:cs="Arial"/>
        </w:rPr>
        <w:t>OL</w:t>
      </w:r>
      <w:r w:rsidRPr="00E464CF">
        <w:rPr>
          <w:rFonts w:cs="Arial"/>
        </w:rPr>
        <w:t xml:space="preserve"> (2014)</w:t>
      </w:r>
      <w:r>
        <w:rPr>
          <w:rFonts w:cs="Arial"/>
        </w:rPr>
        <w:t xml:space="preserve"> </w:t>
      </w:r>
      <w:r w:rsidRPr="00E464CF">
        <w:rPr>
          <w:rFonts w:cs="Arial"/>
        </w:rPr>
        <w:t>k</w:t>
      </w:r>
      <w:r>
        <w:rPr>
          <w:rFonts w:cs="Arial"/>
        </w:rPr>
        <w:t>rok</w:t>
      </w:r>
      <w:r w:rsidRPr="00E464CF">
        <w:rPr>
          <w:rFonts w:cs="Arial"/>
        </w:rPr>
        <w:t xml:space="preserve"> 1</w:t>
      </w:r>
      <w:r>
        <w:rPr>
          <w:rFonts w:cs="Arial"/>
        </w:rPr>
        <w:t xml:space="preserve"> přeskočit </w:t>
      </w:r>
      <w:r w:rsidRPr="00E464CF">
        <w:rPr>
          <w:rFonts w:cs="Arial"/>
        </w:rPr>
        <w:t>(</w:t>
      </w:r>
      <w:r>
        <w:rPr>
          <w:rFonts w:cs="Arial"/>
        </w:rPr>
        <w:t>k</w:t>
      </w:r>
      <w:r w:rsidRPr="00E464CF">
        <w:rPr>
          <w:rFonts w:cs="Arial"/>
        </w:rPr>
        <w:t>rit</w:t>
      </w:r>
      <w:r>
        <w:rPr>
          <w:rFonts w:cs="Arial"/>
        </w:rPr>
        <w:t>é</w:t>
      </w:r>
      <w:r w:rsidRPr="00E464CF">
        <w:rPr>
          <w:rFonts w:cs="Arial"/>
        </w:rPr>
        <w:t xml:space="preserve">rium: </w:t>
      </w:r>
      <w:r>
        <w:rPr>
          <w:rFonts w:cs="Arial"/>
        </w:rPr>
        <w:t>le</w:t>
      </w:r>
      <w:r w:rsidRPr="00E464CF">
        <w:rPr>
          <w:rFonts w:cs="Arial"/>
        </w:rPr>
        <w:t>g</w:t>
      </w:r>
      <w:r>
        <w:rPr>
          <w:rFonts w:cs="Arial"/>
        </w:rPr>
        <w:t>i</w:t>
      </w:r>
      <w:r w:rsidRPr="00E464CF">
        <w:rPr>
          <w:rFonts w:cs="Arial"/>
        </w:rPr>
        <w:t>s</w:t>
      </w:r>
      <w:r>
        <w:rPr>
          <w:rFonts w:cs="Arial"/>
        </w:rPr>
        <w:t>lativní požadav</w:t>
      </w:r>
      <w:r w:rsidRPr="00E464CF">
        <w:rPr>
          <w:rFonts w:cs="Arial"/>
        </w:rPr>
        <w:t>e</w:t>
      </w:r>
      <w:r>
        <w:rPr>
          <w:rFonts w:cs="Arial"/>
        </w:rPr>
        <w:t>k</w:t>
      </w:r>
      <w:r w:rsidRPr="00E464CF">
        <w:rPr>
          <w:rFonts w:cs="Arial"/>
        </w:rPr>
        <w:t xml:space="preserve">) </w:t>
      </w:r>
      <w:r>
        <w:rPr>
          <w:rFonts w:cs="Arial"/>
        </w:rPr>
        <w:t>a vzhledem k tom</w:t>
      </w:r>
      <w:r w:rsidRPr="00E464CF">
        <w:rPr>
          <w:rFonts w:cs="Arial"/>
        </w:rPr>
        <w:t>u</w:t>
      </w:r>
      <w:r>
        <w:rPr>
          <w:rFonts w:cs="Arial"/>
        </w:rPr>
        <w:t>, že chybí hod</w:t>
      </w:r>
      <w:r w:rsidRPr="00E464CF">
        <w:rPr>
          <w:rFonts w:cs="Arial"/>
        </w:rPr>
        <w:t>n</w:t>
      </w:r>
      <w:r>
        <w:rPr>
          <w:rFonts w:cs="Arial"/>
        </w:rPr>
        <w:t>ota odvozená z ekotoxikologi</w:t>
      </w:r>
      <w:r w:rsidRPr="00E464CF">
        <w:rPr>
          <w:rFonts w:cs="Arial"/>
        </w:rPr>
        <w:t>c</w:t>
      </w:r>
      <w:r>
        <w:rPr>
          <w:rFonts w:cs="Arial"/>
        </w:rPr>
        <w:t>kého hlediska dle</w:t>
      </w:r>
      <w:r w:rsidRPr="00E464CF">
        <w:rPr>
          <w:rFonts w:cs="Arial"/>
        </w:rPr>
        <w:t xml:space="preserve"> </w:t>
      </w:r>
      <w:proofErr w:type="gramStart"/>
      <w:r w:rsidRPr="00E464CF">
        <w:rPr>
          <w:rFonts w:cs="Arial"/>
        </w:rPr>
        <w:t>de</w:t>
      </w:r>
      <w:proofErr w:type="gramEnd"/>
      <w:r w:rsidRPr="00E464CF">
        <w:rPr>
          <w:rFonts w:cs="Arial"/>
        </w:rPr>
        <w:t xml:space="preserve"> </w:t>
      </w:r>
      <w:proofErr w:type="spellStart"/>
      <w:r w:rsidRPr="00E464CF">
        <w:rPr>
          <w:rFonts w:cs="Arial"/>
        </w:rPr>
        <w:t>Deckere</w:t>
      </w:r>
      <w:r>
        <w:rPr>
          <w:rFonts w:cs="Arial"/>
        </w:rPr>
        <w:t>ho</w:t>
      </w:r>
      <w:proofErr w:type="spellEnd"/>
      <w:r w:rsidRPr="00E464CF">
        <w:rPr>
          <w:rFonts w:cs="Arial"/>
        </w:rPr>
        <w:t xml:space="preserve"> et al. (2011) (2. </w:t>
      </w:r>
      <w:r>
        <w:rPr>
          <w:rFonts w:cs="Arial"/>
        </w:rPr>
        <w:t>krok</w:t>
      </w:r>
      <w:r w:rsidRPr="00E464CF">
        <w:rPr>
          <w:rFonts w:cs="Arial"/>
        </w:rPr>
        <w:t>)</w:t>
      </w:r>
      <w:r>
        <w:rPr>
          <w:rFonts w:cs="Arial"/>
        </w:rPr>
        <w:t>, lze přejít přímo ke krok</w:t>
      </w:r>
      <w:r w:rsidRPr="00E464CF">
        <w:rPr>
          <w:rFonts w:cs="Arial"/>
        </w:rPr>
        <w:t xml:space="preserve">u 3. </w:t>
      </w:r>
      <w:r>
        <w:rPr>
          <w:rFonts w:cs="Arial"/>
        </w:rPr>
        <w:t xml:space="preserve">V souladu se sledem těchto kroků se v kroku </w:t>
      </w:r>
      <w:r w:rsidRPr="00E464CF">
        <w:rPr>
          <w:rFonts w:cs="Arial"/>
        </w:rPr>
        <w:t xml:space="preserve">3 </w:t>
      </w:r>
      <w:r>
        <w:rPr>
          <w:rFonts w:cs="Arial"/>
        </w:rPr>
        <w:t xml:space="preserve">prověřuje nejpřísnější </w:t>
      </w:r>
      <w:r w:rsidRPr="00E464CF">
        <w:rPr>
          <w:rFonts w:cs="Arial"/>
        </w:rPr>
        <w:t>d</w:t>
      </w:r>
      <w:r>
        <w:rPr>
          <w:rFonts w:cs="Arial"/>
        </w:rPr>
        <w:t xml:space="preserve">ostupná hodnota dalších národních ustanovení, která jsou přímo či nepřímo </w:t>
      </w:r>
      <w:r w:rsidRPr="00E464CF">
        <w:rPr>
          <w:rFonts w:cs="Arial"/>
        </w:rPr>
        <w:t>r</w:t>
      </w:r>
      <w:r>
        <w:rPr>
          <w:rFonts w:cs="Arial"/>
        </w:rPr>
        <w:t>elevantní pro</w:t>
      </w:r>
      <w:r w:rsidRPr="00E464CF">
        <w:rPr>
          <w:rFonts w:cs="Arial"/>
        </w:rPr>
        <w:t xml:space="preserve"> sediment</w:t>
      </w:r>
      <w:r>
        <w:rPr>
          <w:rFonts w:cs="Arial"/>
        </w:rPr>
        <w:t>y</w:t>
      </w:r>
      <w:r w:rsidRPr="00E464CF">
        <w:rPr>
          <w:rFonts w:cs="Arial"/>
        </w:rPr>
        <w:t xml:space="preserve">. </w:t>
      </w:r>
      <w:r>
        <w:rPr>
          <w:rFonts w:cs="Arial"/>
        </w:rPr>
        <w:t>Z toho vyplývá, že pro horní prahovou hodnotu by měla být použita orientační hodnota</w:t>
      </w:r>
      <w:r w:rsidRPr="00E464CF">
        <w:rPr>
          <w:rFonts w:cs="Arial"/>
        </w:rPr>
        <w:t xml:space="preserve"> 1 (TBT: 20 µg/kg) </w:t>
      </w:r>
      <w:r>
        <w:rPr>
          <w:rFonts w:cs="Arial"/>
        </w:rPr>
        <w:t>podle ustanovení</w:t>
      </w:r>
      <w:r w:rsidRPr="00E464CF">
        <w:rPr>
          <w:rFonts w:cs="Arial"/>
        </w:rPr>
        <w:t xml:space="preserve"> GÜBAK</w:t>
      </w:r>
      <w:r>
        <w:t>.</w:t>
      </w:r>
    </w:p>
    <w:p w14:paraId="4AF8AD33" w14:textId="77777777" w:rsidR="00AF30AB" w:rsidRPr="00AF30AB" w:rsidRDefault="00AF30AB"/>
    <w:p w14:paraId="4119690D" w14:textId="722B60B3" w:rsidR="00AF30AB" w:rsidRDefault="00BA4BF3" w:rsidP="00D04172">
      <w:r>
        <w:t xml:space="preserve">Pro </w:t>
      </w:r>
      <w:r w:rsidRPr="00BA4BF3">
        <w:rPr>
          <w:rFonts w:cs="Arial"/>
          <w:b/>
        </w:rPr>
        <w:t>β</w:t>
      </w:r>
      <w:r w:rsidRPr="00BA4BF3">
        <w:rPr>
          <w:b/>
        </w:rPr>
        <w:t>-HCH</w:t>
      </w:r>
      <w:r>
        <w:t xml:space="preserve"> neexistuje žádná národní NEK (krok 1) a také žádn</w:t>
      </w:r>
      <w:r w:rsidR="00C6764C">
        <w:t>á</w:t>
      </w:r>
      <w:r>
        <w:t xml:space="preserve"> </w:t>
      </w:r>
      <w:r w:rsidRPr="0035358C">
        <w:rPr>
          <w:rFonts w:cs="Arial"/>
          <w:szCs w:val="22"/>
        </w:rPr>
        <w:t>hodnot</w:t>
      </w:r>
      <w:r w:rsidR="00C6764C">
        <w:rPr>
          <w:rFonts w:cs="Arial"/>
          <w:szCs w:val="22"/>
        </w:rPr>
        <w:t>a</w:t>
      </w:r>
      <w:r w:rsidRPr="0035358C">
        <w:rPr>
          <w:rFonts w:cs="Arial"/>
          <w:szCs w:val="22"/>
        </w:rPr>
        <w:t xml:space="preserve"> odvozen</w:t>
      </w:r>
      <w:r>
        <w:rPr>
          <w:rFonts w:cs="Arial"/>
          <w:szCs w:val="22"/>
        </w:rPr>
        <w:t>á</w:t>
      </w:r>
      <w:r w:rsidRPr="0035358C">
        <w:rPr>
          <w:rFonts w:cs="Arial"/>
          <w:szCs w:val="22"/>
        </w:rPr>
        <w:t xml:space="preserve"> z ekotoxikologického hlediska </w:t>
      </w:r>
      <w:r>
        <w:rPr>
          <w:rFonts w:cs="Arial"/>
          <w:szCs w:val="22"/>
        </w:rPr>
        <w:t xml:space="preserve">dle </w:t>
      </w:r>
      <w:proofErr w:type="gramStart"/>
      <w:r>
        <w:rPr>
          <w:rFonts w:cs="Arial"/>
          <w:szCs w:val="22"/>
        </w:rPr>
        <w:t>de</w:t>
      </w:r>
      <w:proofErr w:type="gramEnd"/>
      <w:r>
        <w:rPr>
          <w:rFonts w:cs="Arial"/>
          <w:szCs w:val="22"/>
        </w:rPr>
        <w:t xml:space="preserve"> </w:t>
      </w:r>
      <w:proofErr w:type="spellStart"/>
      <w:r>
        <w:rPr>
          <w:rFonts w:cs="Arial"/>
          <w:szCs w:val="22"/>
        </w:rPr>
        <w:t>Deckereho</w:t>
      </w:r>
      <w:proofErr w:type="spellEnd"/>
      <w:r>
        <w:rPr>
          <w:rFonts w:cs="Arial"/>
          <w:szCs w:val="22"/>
        </w:rPr>
        <w:t xml:space="preserve"> et al. (2011) (krok 2). </w:t>
      </w:r>
      <w:proofErr w:type="spellStart"/>
      <w:r w:rsidR="00DB2C4C">
        <w:rPr>
          <w:rFonts w:cs="Arial"/>
          <w:szCs w:val="22"/>
        </w:rPr>
        <w:t>RHmV</w:t>
      </w:r>
      <w:proofErr w:type="spellEnd"/>
      <w:r>
        <w:rPr>
          <w:rFonts w:cs="Arial"/>
          <w:szCs w:val="22"/>
        </w:rPr>
        <w:t xml:space="preserve"> představuje jediný národní předpis pro tuto látku. Při dodržení pravidla, že v kroku 3 může být zdrojem HPH pouze národní předpis, ne</w:t>
      </w:r>
      <w:r w:rsidR="00D04172">
        <w:rPr>
          <w:rFonts w:cs="Arial"/>
          <w:szCs w:val="22"/>
        </w:rPr>
        <w:t>ní t</w:t>
      </w:r>
      <w:r>
        <w:rPr>
          <w:rFonts w:cs="Arial"/>
          <w:szCs w:val="22"/>
        </w:rPr>
        <w:t xml:space="preserve">edy pro HPH </w:t>
      </w:r>
      <w:r w:rsidR="00D04172">
        <w:rPr>
          <w:rFonts w:cs="Arial"/>
          <w:szCs w:val="22"/>
        </w:rPr>
        <w:t xml:space="preserve">k dispozici </w:t>
      </w:r>
      <w:r>
        <w:rPr>
          <w:rFonts w:cs="Arial"/>
          <w:szCs w:val="22"/>
        </w:rPr>
        <w:t xml:space="preserve">žádný jiný zdroj. </w:t>
      </w:r>
      <w:r w:rsidR="00D04172">
        <w:rPr>
          <w:rFonts w:cs="Arial"/>
          <w:szCs w:val="22"/>
        </w:rPr>
        <w:t xml:space="preserve">(Norma EU o nežádoucích látkách v krmivech, ze které byla </w:t>
      </w:r>
      <w:r w:rsidR="009D52AC">
        <w:rPr>
          <w:rFonts w:cs="Arial"/>
          <w:szCs w:val="22"/>
        </w:rPr>
        <w:t xml:space="preserve">pro </w:t>
      </w:r>
      <w:r w:rsidR="009D52AC" w:rsidRPr="00D04172">
        <w:rPr>
          <w:rFonts w:cs="Arial"/>
        </w:rPr>
        <w:t>β</w:t>
      </w:r>
      <w:r w:rsidR="009D52AC" w:rsidRPr="00D04172">
        <w:t>-</w:t>
      </w:r>
      <w:r w:rsidR="009D52AC" w:rsidRPr="00170B66">
        <w:t xml:space="preserve">HCH </w:t>
      </w:r>
      <w:r w:rsidR="00D04172">
        <w:rPr>
          <w:rFonts w:cs="Arial"/>
          <w:szCs w:val="22"/>
        </w:rPr>
        <w:t xml:space="preserve">dle </w:t>
      </w:r>
      <w:proofErr w:type="spellStart"/>
      <w:r w:rsidR="00D04172">
        <w:rPr>
          <w:rFonts w:cs="Arial"/>
          <w:szCs w:val="22"/>
        </w:rPr>
        <w:t>Heise</w:t>
      </w:r>
      <w:proofErr w:type="spellEnd"/>
      <w:r w:rsidR="00D04172">
        <w:rPr>
          <w:rFonts w:cs="Arial"/>
          <w:szCs w:val="22"/>
        </w:rPr>
        <w:t xml:space="preserve"> et al. (2008) odvozena hodnota 50 </w:t>
      </w:r>
      <w:proofErr w:type="spellStart"/>
      <w:r w:rsidR="00D04172">
        <w:rPr>
          <w:rFonts w:cs="Arial"/>
          <w:szCs w:val="22"/>
        </w:rPr>
        <w:t>μg</w:t>
      </w:r>
      <w:proofErr w:type="spellEnd"/>
      <w:r w:rsidR="00D04172">
        <w:rPr>
          <w:rFonts w:cs="Arial"/>
          <w:szCs w:val="22"/>
        </w:rPr>
        <w:t>/kg, není národním předpisem.) Z tohoto důvodu</w:t>
      </w:r>
      <w:r w:rsidR="00170B66">
        <w:rPr>
          <w:rFonts w:cs="Arial"/>
          <w:szCs w:val="22"/>
        </w:rPr>
        <w:t xml:space="preserve"> u</w:t>
      </w:r>
      <w:r w:rsidR="00D04172">
        <w:rPr>
          <w:rFonts w:cs="Arial"/>
          <w:szCs w:val="22"/>
        </w:rPr>
        <w:t xml:space="preserve"> </w:t>
      </w:r>
      <w:r w:rsidR="00170B66" w:rsidRPr="00D04172">
        <w:rPr>
          <w:rFonts w:cs="Arial"/>
        </w:rPr>
        <w:t>β</w:t>
      </w:r>
      <w:r w:rsidR="00170B66" w:rsidRPr="00D04172">
        <w:t>-</w:t>
      </w:r>
      <w:r w:rsidR="00170B66" w:rsidRPr="00170B66">
        <w:t xml:space="preserve">HCH </w:t>
      </w:r>
      <w:r w:rsidR="00D04172" w:rsidRPr="00170B66">
        <w:rPr>
          <w:rFonts w:cs="Arial"/>
          <w:szCs w:val="22"/>
        </w:rPr>
        <w:t>z</w:t>
      </w:r>
      <w:r w:rsidR="00D04172">
        <w:rPr>
          <w:rFonts w:cs="Arial"/>
          <w:szCs w:val="22"/>
        </w:rPr>
        <w:t xml:space="preserve">ůstává </w:t>
      </w:r>
      <w:r w:rsidR="00D04172" w:rsidRPr="00D04172">
        <w:t>HPH rovna DPH.</w:t>
      </w:r>
    </w:p>
    <w:p w14:paraId="06DFE44E" w14:textId="77777777" w:rsidR="00D04172" w:rsidRDefault="00D04172" w:rsidP="00D04172"/>
    <w:p w14:paraId="564629E0" w14:textId="77777777" w:rsidR="00D04172" w:rsidRDefault="00D04172" w:rsidP="00D04172"/>
    <w:p w14:paraId="5CC1504A" w14:textId="77777777" w:rsidR="00D04172" w:rsidRDefault="00D04172" w:rsidP="00D04172">
      <w:r>
        <w:lastRenderedPageBreak/>
        <w:t xml:space="preserve">Tabulka 1 udává přehled dosavadních a podle </w:t>
      </w:r>
      <w:r w:rsidR="00C6764C">
        <w:t>výše uvedeného</w:t>
      </w:r>
      <w:r>
        <w:t xml:space="preserve"> návrhu aktualizovaných DPH a HPH a jejich zdrojů.</w:t>
      </w:r>
    </w:p>
    <w:p w14:paraId="7F31FF85" w14:textId="77777777" w:rsidR="00D04172" w:rsidRDefault="00D04172" w:rsidP="00D04172"/>
    <w:p w14:paraId="3C248CF3" w14:textId="77777777" w:rsidR="00D04172" w:rsidRDefault="00D04172" w:rsidP="00D04172"/>
    <w:p w14:paraId="61401506" w14:textId="77777777" w:rsidR="00D04172" w:rsidRPr="00AF30AB" w:rsidRDefault="00D04172" w:rsidP="00D04172">
      <w:r>
        <w:t xml:space="preserve">Výše uvedená aktualizace prahových hodnot byla pro Koncepci FGG Elbe pro nakládání se sedimenty schválena na německé straně již v roce 2016. Po odsouhlasení ve skupině expertů SW a </w:t>
      </w:r>
      <w:r w:rsidR="00C6764C">
        <w:t>v </w:t>
      </w:r>
      <w:r>
        <w:t>pracovní skupin</w:t>
      </w:r>
      <w:r w:rsidR="00C6764C">
        <w:t>ě</w:t>
      </w:r>
      <w:r>
        <w:t xml:space="preserve"> WFD MKOL je nyní předkládána </w:t>
      </w:r>
      <w:r w:rsidR="00170B66">
        <w:t xml:space="preserve">vedoucím delegací MKOL </w:t>
      </w:r>
      <w:r>
        <w:t xml:space="preserve">ke schválení </w:t>
      </w:r>
      <w:r w:rsidR="00170B66">
        <w:t>pro Koncepci MKOL pro nakládání se sedimenty.</w:t>
      </w:r>
    </w:p>
    <w:p w14:paraId="727383B5" w14:textId="77777777" w:rsidR="00AF30AB" w:rsidRPr="00AF30AB" w:rsidRDefault="00AF30AB"/>
    <w:p w14:paraId="5490B29C" w14:textId="77777777" w:rsidR="00AF30AB" w:rsidRDefault="00AF30AB"/>
    <w:p w14:paraId="4E20EE40" w14:textId="77777777" w:rsidR="00466901" w:rsidRDefault="00466901">
      <w:pPr>
        <w:pStyle w:val="Anlage"/>
      </w:pPr>
    </w:p>
    <w:p w14:paraId="6060F673" w14:textId="77777777" w:rsidR="008D4678" w:rsidRDefault="008D4678">
      <w:pPr>
        <w:sectPr w:rsidR="008D4678">
          <w:headerReference w:type="default" r:id="rId8"/>
          <w:footerReference w:type="default" r:id="rId9"/>
          <w:headerReference w:type="first" r:id="rId10"/>
          <w:footerReference w:type="first" r:id="rId11"/>
          <w:type w:val="continuous"/>
          <w:pgSz w:w="11906" w:h="16838" w:code="9"/>
          <w:pgMar w:top="1701" w:right="1134" w:bottom="1134" w:left="1418" w:header="709" w:footer="567" w:gutter="0"/>
          <w:cols w:space="708"/>
          <w:docGrid w:linePitch="360"/>
        </w:sectPr>
      </w:pPr>
    </w:p>
    <w:p w14:paraId="02DB7485" w14:textId="77777777" w:rsidR="00466901" w:rsidRDefault="00466901"/>
    <w:p w14:paraId="3811C485" w14:textId="77777777" w:rsidR="00170B66" w:rsidRPr="00170B66" w:rsidRDefault="00170B66" w:rsidP="00170B66">
      <w:pPr>
        <w:tabs>
          <w:tab w:val="left" w:pos="993"/>
        </w:tabs>
        <w:spacing w:after="120"/>
        <w:rPr>
          <w:b/>
          <w:sz w:val="18"/>
          <w:szCs w:val="18"/>
        </w:rPr>
      </w:pPr>
      <w:r w:rsidRPr="006926BE">
        <w:rPr>
          <w:rFonts w:eastAsia="Arial" w:cs="Arial"/>
          <w:b/>
          <w:bCs/>
          <w:sz w:val="18"/>
          <w:szCs w:val="18"/>
        </w:rPr>
        <w:t>Tab</w:t>
      </w:r>
      <w:r>
        <w:rPr>
          <w:rFonts w:eastAsia="Arial" w:cs="Arial"/>
          <w:b/>
          <w:bCs/>
          <w:sz w:val="18"/>
          <w:szCs w:val="18"/>
        </w:rPr>
        <w:t>ulka</w:t>
      </w:r>
      <w:r w:rsidRPr="006926BE">
        <w:rPr>
          <w:rFonts w:eastAsia="Arial" w:cs="Arial"/>
          <w:b/>
          <w:bCs/>
          <w:spacing w:val="1"/>
          <w:sz w:val="18"/>
          <w:szCs w:val="18"/>
        </w:rPr>
        <w:t xml:space="preserve"> </w:t>
      </w:r>
      <w:r w:rsidRPr="006926BE">
        <w:rPr>
          <w:rFonts w:eastAsia="Arial" w:cs="Arial"/>
          <w:b/>
          <w:bCs/>
          <w:sz w:val="18"/>
          <w:szCs w:val="18"/>
        </w:rPr>
        <w:t>1:</w:t>
      </w:r>
      <w:r w:rsidRPr="006926BE">
        <w:rPr>
          <w:rFonts w:eastAsia="Arial" w:cs="Arial"/>
          <w:b/>
          <w:bCs/>
          <w:spacing w:val="-2"/>
          <w:sz w:val="18"/>
          <w:szCs w:val="18"/>
        </w:rPr>
        <w:t xml:space="preserve"> </w:t>
      </w:r>
      <w:r>
        <w:rPr>
          <w:rFonts w:eastAsia="Arial" w:cs="Arial"/>
          <w:b/>
          <w:bCs/>
          <w:spacing w:val="-2"/>
          <w:sz w:val="18"/>
          <w:szCs w:val="18"/>
        </w:rPr>
        <w:tab/>
      </w:r>
      <w:r w:rsidRPr="00170B66">
        <w:rPr>
          <w:rFonts w:eastAsia="Arial" w:cs="Arial"/>
          <w:b/>
          <w:sz w:val="18"/>
          <w:szCs w:val="18"/>
        </w:rPr>
        <w:t xml:space="preserve">Dolní a horní prahová hodnota podle </w:t>
      </w:r>
      <w:r w:rsidRPr="00170B66">
        <w:rPr>
          <w:rFonts w:cs="Arial"/>
          <w:b/>
          <w:sz w:val="18"/>
          <w:szCs w:val="18"/>
        </w:rPr>
        <w:t>Koncepce pro nakládání se sedimenty FGG Elbe / MKOL</w:t>
      </w:r>
      <w:r w:rsidRPr="00170B66">
        <w:rPr>
          <w:rFonts w:eastAsia="Arial" w:cs="Arial"/>
          <w:b/>
          <w:sz w:val="18"/>
          <w:szCs w:val="18"/>
        </w:rPr>
        <w:t xml:space="preserve"> a uvedení </w:t>
      </w:r>
      <w:r w:rsidR="00B21F91">
        <w:rPr>
          <w:rFonts w:eastAsia="Arial" w:cs="Arial"/>
          <w:b/>
          <w:sz w:val="18"/>
          <w:szCs w:val="18"/>
        </w:rPr>
        <w:t>zdroje</w:t>
      </w:r>
    </w:p>
    <w:tbl>
      <w:tblPr>
        <w:tblStyle w:val="Mkatabulky"/>
        <w:tblW w:w="14029" w:type="dxa"/>
        <w:tblCellMar>
          <w:top w:w="6" w:type="dxa"/>
          <w:bottom w:w="6" w:type="dxa"/>
        </w:tblCellMar>
        <w:tblLook w:val="04A0" w:firstRow="1" w:lastRow="0" w:firstColumn="1" w:lastColumn="0" w:noHBand="0" w:noVBand="1"/>
      </w:tblPr>
      <w:tblGrid>
        <w:gridCol w:w="437"/>
        <w:gridCol w:w="1168"/>
        <w:gridCol w:w="828"/>
        <w:gridCol w:w="773"/>
        <w:gridCol w:w="707"/>
        <w:gridCol w:w="1752"/>
        <w:gridCol w:w="2694"/>
        <w:gridCol w:w="850"/>
        <w:gridCol w:w="709"/>
        <w:gridCol w:w="1559"/>
        <w:gridCol w:w="2552"/>
      </w:tblGrid>
      <w:tr w:rsidR="00170B66" w:rsidRPr="00CC03D5" w14:paraId="07D81640" w14:textId="77777777" w:rsidTr="000A162D">
        <w:trPr>
          <w:cantSplit/>
          <w:trHeight w:val="256"/>
        </w:trPr>
        <w:tc>
          <w:tcPr>
            <w:tcW w:w="0" w:type="auto"/>
            <w:vMerge w:val="restart"/>
            <w:shd w:val="clear" w:color="auto" w:fill="808080" w:themeFill="background1" w:themeFillShade="80"/>
            <w:vAlign w:val="center"/>
          </w:tcPr>
          <w:p w14:paraId="1CACF09F" w14:textId="77777777" w:rsidR="00170B66" w:rsidRPr="00CC03D5" w:rsidRDefault="00513D10" w:rsidP="00513D10">
            <w:pPr>
              <w:pStyle w:val="TableParagraph"/>
              <w:jc w:val="center"/>
              <w:rPr>
                <w:rFonts w:ascii="Arial" w:eastAsia="Arial" w:hAnsi="Arial" w:cs="Arial"/>
                <w:sz w:val="16"/>
                <w:szCs w:val="16"/>
                <w:lang w:val="cs-CZ"/>
              </w:rPr>
            </w:pPr>
            <w:r w:rsidRPr="00CC03D5">
              <w:rPr>
                <w:rFonts w:ascii="Arial" w:eastAsia="Arial" w:hAnsi="Arial" w:cs="Arial"/>
                <w:b/>
                <w:bCs/>
                <w:color w:val="FFFFFF"/>
                <w:spacing w:val="-1"/>
                <w:sz w:val="16"/>
                <w:szCs w:val="16"/>
                <w:lang w:val="cs-CZ"/>
              </w:rPr>
              <w:t>Č</w:t>
            </w:r>
            <w:r w:rsidR="00170B66" w:rsidRPr="00CC03D5">
              <w:rPr>
                <w:rFonts w:ascii="Arial" w:eastAsia="Arial" w:hAnsi="Arial" w:cs="Arial"/>
                <w:b/>
                <w:bCs/>
                <w:color w:val="FFFFFF"/>
                <w:sz w:val="16"/>
                <w:szCs w:val="16"/>
                <w:lang w:val="cs-CZ"/>
              </w:rPr>
              <w:t>.</w:t>
            </w:r>
          </w:p>
        </w:tc>
        <w:tc>
          <w:tcPr>
            <w:tcW w:w="1168" w:type="dxa"/>
            <w:vMerge w:val="restart"/>
            <w:shd w:val="clear" w:color="auto" w:fill="808080" w:themeFill="background1" w:themeFillShade="80"/>
            <w:vAlign w:val="center"/>
          </w:tcPr>
          <w:p w14:paraId="3197C720" w14:textId="77777777" w:rsidR="00170B66" w:rsidRPr="00CC03D5" w:rsidRDefault="00513D10" w:rsidP="00513D10">
            <w:pPr>
              <w:pStyle w:val="TableParagraph"/>
              <w:jc w:val="center"/>
              <w:rPr>
                <w:rFonts w:ascii="Arial" w:eastAsia="Arial" w:hAnsi="Arial" w:cs="Arial"/>
                <w:sz w:val="16"/>
                <w:szCs w:val="16"/>
                <w:lang w:val="cs-CZ"/>
              </w:rPr>
            </w:pPr>
            <w:r w:rsidRPr="00CC03D5">
              <w:rPr>
                <w:rFonts w:ascii="Arial" w:eastAsia="Arial" w:hAnsi="Arial" w:cs="Arial"/>
                <w:b/>
                <w:bCs/>
                <w:color w:val="FFFFFF"/>
                <w:sz w:val="16"/>
                <w:szCs w:val="16"/>
                <w:lang w:val="cs-CZ"/>
              </w:rPr>
              <w:t>Látka</w:t>
            </w:r>
          </w:p>
        </w:tc>
        <w:tc>
          <w:tcPr>
            <w:tcW w:w="828" w:type="dxa"/>
            <w:vMerge w:val="restart"/>
            <w:shd w:val="clear" w:color="auto" w:fill="808080" w:themeFill="background1" w:themeFillShade="80"/>
            <w:vAlign w:val="center"/>
          </w:tcPr>
          <w:p w14:paraId="26BED56B" w14:textId="77777777" w:rsidR="00170B66" w:rsidRPr="00CC03D5" w:rsidRDefault="00513D10" w:rsidP="000A162D">
            <w:pPr>
              <w:pStyle w:val="TableParagraph"/>
              <w:ind w:firstLine="69"/>
              <w:jc w:val="center"/>
              <w:rPr>
                <w:rFonts w:ascii="Arial" w:eastAsia="Arial" w:hAnsi="Arial" w:cs="Arial"/>
                <w:sz w:val="16"/>
                <w:szCs w:val="16"/>
                <w:lang w:val="cs-CZ"/>
              </w:rPr>
            </w:pPr>
            <w:r w:rsidRPr="00CC03D5">
              <w:rPr>
                <w:rFonts w:ascii="Arial" w:eastAsia="Arial" w:hAnsi="Arial" w:cs="Arial"/>
                <w:b/>
                <w:bCs/>
                <w:color w:val="FFFFFF"/>
                <w:sz w:val="16"/>
                <w:szCs w:val="16"/>
                <w:lang w:val="cs-CZ"/>
              </w:rPr>
              <w:t>Jedno</w:t>
            </w:r>
            <w:r w:rsidR="00170B66" w:rsidRPr="00CC03D5">
              <w:rPr>
                <w:rFonts w:ascii="Arial" w:eastAsia="Arial" w:hAnsi="Arial" w:cs="Arial"/>
                <w:b/>
                <w:bCs/>
                <w:color w:val="FFFFFF"/>
                <w:sz w:val="16"/>
                <w:szCs w:val="16"/>
                <w:lang w:val="cs-CZ"/>
              </w:rPr>
              <w:t>t</w:t>
            </w:r>
            <w:r w:rsidRPr="00CC03D5">
              <w:rPr>
                <w:rFonts w:ascii="Arial" w:eastAsia="Arial" w:hAnsi="Arial" w:cs="Arial"/>
                <w:b/>
                <w:bCs/>
                <w:color w:val="FFFFFF"/>
                <w:sz w:val="16"/>
                <w:szCs w:val="16"/>
                <w:lang w:val="cs-CZ"/>
              </w:rPr>
              <w:t>ka</w:t>
            </w:r>
          </w:p>
        </w:tc>
        <w:tc>
          <w:tcPr>
            <w:tcW w:w="1480" w:type="dxa"/>
            <w:gridSpan w:val="2"/>
            <w:tcBorders>
              <w:bottom w:val="single" w:sz="4" w:space="0" w:color="auto"/>
            </w:tcBorders>
            <w:shd w:val="clear" w:color="auto" w:fill="92D050"/>
            <w:vAlign w:val="center"/>
          </w:tcPr>
          <w:p w14:paraId="020E2598" w14:textId="77777777" w:rsidR="00170B66" w:rsidRPr="00CC03D5" w:rsidRDefault="00513D10" w:rsidP="00513D10">
            <w:pPr>
              <w:pStyle w:val="TableParagraph"/>
              <w:jc w:val="center"/>
              <w:rPr>
                <w:rFonts w:ascii="Arial" w:eastAsia="Arial" w:hAnsi="Arial" w:cs="Arial"/>
                <w:b/>
                <w:bCs/>
                <w:color w:val="FFFFFF"/>
                <w:spacing w:val="-1"/>
                <w:sz w:val="16"/>
                <w:szCs w:val="16"/>
                <w:lang w:val="cs-CZ"/>
              </w:rPr>
            </w:pPr>
            <w:r w:rsidRPr="00CC03D5">
              <w:rPr>
                <w:rFonts w:ascii="Arial" w:eastAsia="Arial" w:hAnsi="Arial" w:cs="Arial"/>
                <w:b/>
                <w:bCs/>
                <w:color w:val="FFFFFF"/>
                <w:spacing w:val="-1"/>
                <w:sz w:val="16"/>
                <w:szCs w:val="16"/>
                <w:lang w:val="cs-CZ"/>
              </w:rPr>
              <w:t>Dolní prahová hodnota</w:t>
            </w:r>
            <w:r w:rsidR="00170B66" w:rsidRPr="00CC03D5">
              <w:rPr>
                <w:rFonts w:ascii="Arial" w:eastAsia="Arial" w:hAnsi="Arial" w:cs="Arial"/>
                <w:b/>
                <w:bCs/>
                <w:color w:val="FFFFFF"/>
                <w:sz w:val="16"/>
                <w:szCs w:val="16"/>
                <w:lang w:val="cs-CZ"/>
              </w:rPr>
              <w:t xml:space="preserve"> </w:t>
            </w:r>
            <w:r w:rsidR="00170B66" w:rsidRPr="00CC03D5">
              <w:rPr>
                <w:rFonts w:ascii="Arial" w:eastAsia="Arial" w:hAnsi="Arial" w:cs="Arial"/>
                <w:b/>
                <w:bCs/>
                <w:color w:val="FFFFFF"/>
                <w:spacing w:val="-1"/>
                <w:sz w:val="16"/>
                <w:szCs w:val="16"/>
                <w:lang w:val="cs-CZ"/>
              </w:rPr>
              <w:t>(</w:t>
            </w:r>
            <w:r w:rsidRPr="00CC03D5">
              <w:rPr>
                <w:rFonts w:ascii="Arial" w:eastAsia="Arial" w:hAnsi="Arial" w:cs="Arial"/>
                <w:b/>
                <w:bCs/>
                <w:color w:val="FFFFFF"/>
                <w:spacing w:val="-1"/>
                <w:sz w:val="16"/>
                <w:szCs w:val="16"/>
                <w:lang w:val="cs-CZ"/>
              </w:rPr>
              <w:t>DPH</w:t>
            </w:r>
            <w:r w:rsidR="00170B66" w:rsidRPr="00CC03D5">
              <w:rPr>
                <w:rFonts w:ascii="Arial" w:eastAsia="Arial" w:hAnsi="Arial" w:cs="Arial"/>
                <w:b/>
                <w:bCs/>
                <w:color w:val="FFFFFF"/>
                <w:sz w:val="16"/>
                <w:szCs w:val="16"/>
                <w:lang w:val="cs-CZ"/>
              </w:rPr>
              <w:t>)</w:t>
            </w:r>
          </w:p>
        </w:tc>
        <w:tc>
          <w:tcPr>
            <w:tcW w:w="4446" w:type="dxa"/>
            <w:gridSpan w:val="2"/>
            <w:shd w:val="clear" w:color="auto" w:fill="808080" w:themeFill="background1" w:themeFillShade="80"/>
            <w:vAlign w:val="center"/>
          </w:tcPr>
          <w:p w14:paraId="73C4E2C6" w14:textId="77777777" w:rsidR="00170B66" w:rsidRPr="00CC03D5" w:rsidRDefault="00513D10" w:rsidP="000A162D">
            <w:pPr>
              <w:pStyle w:val="TableParagraph"/>
              <w:ind w:hanging="238"/>
              <w:jc w:val="center"/>
              <w:rPr>
                <w:rFonts w:ascii="Arial" w:eastAsia="Arial" w:hAnsi="Arial" w:cs="Arial"/>
                <w:sz w:val="16"/>
                <w:szCs w:val="16"/>
                <w:lang w:val="cs-CZ"/>
              </w:rPr>
            </w:pPr>
            <w:r w:rsidRPr="00CC03D5">
              <w:rPr>
                <w:rFonts w:ascii="Arial" w:eastAsia="Arial" w:hAnsi="Arial" w:cs="Arial"/>
                <w:b/>
                <w:bCs/>
                <w:color w:val="FFFFFF"/>
                <w:spacing w:val="-1"/>
                <w:sz w:val="16"/>
                <w:szCs w:val="16"/>
                <w:lang w:val="cs-CZ"/>
              </w:rPr>
              <w:t>Zdroj</w:t>
            </w:r>
          </w:p>
        </w:tc>
        <w:tc>
          <w:tcPr>
            <w:tcW w:w="1559" w:type="dxa"/>
            <w:gridSpan w:val="2"/>
            <w:shd w:val="clear" w:color="auto" w:fill="C45911" w:themeFill="accent2" w:themeFillShade="BF"/>
            <w:vAlign w:val="center"/>
          </w:tcPr>
          <w:p w14:paraId="633CCCBA" w14:textId="77777777" w:rsidR="00170B66" w:rsidRPr="00CC03D5" w:rsidRDefault="00513D10" w:rsidP="00F3761E">
            <w:pPr>
              <w:pStyle w:val="TableParagraph"/>
              <w:jc w:val="center"/>
              <w:rPr>
                <w:rFonts w:ascii="Arial" w:eastAsia="Arial" w:hAnsi="Arial" w:cs="Arial"/>
                <w:b/>
                <w:bCs/>
                <w:color w:val="FFFFFF"/>
                <w:spacing w:val="-1"/>
                <w:sz w:val="16"/>
                <w:szCs w:val="16"/>
                <w:lang w:val="cs-CZ"/>
              </w:rPr>
            </w:pPr>
            <w:r w:rsidRPr="00CC03D5">
              <w:rPr>
                <w:rFonts w:ascii="Arial" w:eastAsia="Arial" w:hAnsi="Arial" w:cs="Arial"/>
                <w:b/>
                <w:bCs/>
                <w:color w:val="FFFFFF"/>
                <w:spacing w:val="-1"/>
                <w:sz w:val="16"/>
                <w:szCs w:val="16"/>
                <w:lang w:val="cs-CZ"/>
              </w:rPr>
              <w:t>Ho</w:t>
            </w:r>
            <w:r w:rsidR="00F3761E">
              <w:rPr>
                <w:rFonts w:ascii="Arial" w:eastAsia="Arial" w:hAnsi="Arial" w:cs="Arial"/>
                <w:b/>
                <w:bCs/>
                <w:color w:val="FFFFFF"/>
                <w:spacing w:val="-1"/>
                <w:sz w:val="16"/>
                <w:szCs w:val="16"/>
                <w:lang w:val="cs-CZ"/>
              </w:rPr>
              <w:t>r</w:t>
            </w:r>
            <w:r w:rsidRPr="00CC03D5">
              <w:rPr>
                <w:rFonts w:ascii="Arial" w:eastAsia="Arial" w:hAnsi="Arial" w:cs="Arial"/>
                <w:b/>
                <w:bCs/>
                <w:color w:val="FFFFFF"/>
                <w:spacing w:val="-1"/>
                <w:sz w:val="16"/>
                <w:szCs w:val="16"/>
                <w:lang w:val="cs-CZ"/>
              </w:rPr>
              <w:t>ní prahová hodnota</w:t>
            </w:r>
            <w:r w:rsidRPr="00CC03D5">
              <w:rPr>
                <w:rFonts w:ascii="Arial" w:eastAsia="Arial" w:hAnsi="Arial" w:cs="Arial"/>
                <w:b/>
                <w:bCs/>
                <w:color w:val="FFFFFF"/>
                <w:sz w:val="16"/>
                <w:szCs w:val="16"/>
                <w:lang w:val="cs-CZ"/>
              </w:rPr>
              <w:t xml:space="preserve"> </w:t>
            </w:r>
            <w:r w:rsidRPr="00CC03D5">
              <w:rPr>
                <w:rFonts w:ascii="Arial" w:eastAsia="Arial" w:hAnsi="Arial" w:cs="Arial"/>
                <w:b/>
                <w:bCs/>
                <w:color w:val="FFFFFF"/>
                <w:spacing w:val="-1"/>
                <w:sz w:val="16"/>
                <w:szCs w:val="16"/>
                <w:lang w:val="cs-CZ"/>
              </w:rPr>
              <w:t>(HPH</w:t>
            </w:r>
            <w:r w:rsidRPr="00CC03D5">
              <w:rPr>
                <w:rFonts w:ascii="Arial" w:eastAsia="Arial" w:hAnsi="Arial" w:cs="Arial"/>
                <w:b/>
                <w:bCs/>
                <w:color w:val="FFFFFF"/>
                <w:sz w:val="16"/>
                <w:szCs w:val="16"/>
                <w:lang w:val="cs-CZ"/>
              </w:rPr>
              <w:t>)</w:t>
            </w:r>
          </w:p>
        </w:tc>
        <w:tc>
          <w:tcPr>
            <w:tcW w:w="4111" w:type="dxa"/>
            <w:gridSpan w:val="2"/>
            <w:shd w:val="clear" w:color="auto" w:fill="808080" w:themeFill="background1" w:themeFillShade="80"/>
            <w:vAlign w:val="center"/>
          </w:tcPr>
          <w:p w14:paraId="2E86E3A6" w14:textId="77777777" w:rsidR="00170B66" w:rsidRPr="00CC03D5" w:rsidRDefault="00513D10" w:rsidP="00513D10">
            <w:pPr>
              <w:jc w:val="center"/>
            </w:pPr>
            <w:r w:rsidRPr="00CC03D5">
              <w:rPr>
                <w:rFonts w:eastAsia="Arial" w:cs="Arial"/>
                <w:b/>
                <w:bCs/>
                <w:color w:val="FFFFFF"/>
                <w:spacing w:val="-1"/>
                <w:sz w:val="16"/>
                <w:szCs w:val="16"/>
              </w:rPr>
              <w:t>Zdroj</w:t>
            </w:r>
          </w:p>
        </w:tc>
      </w:tr>
      <w:tr w:rsidR="00CC03D5" w:rsidRPr="00CC03D5" w14:paraId="072DEDAA" w14:textId="77777777" w:rsidTr="00733615">
        <w:trPr>
          <w:cantSplit/>
        </w:trPr>
        <w:tc>
          <w:tcPr>
            <w:tcW w:w="0" w:type="auto"/>
            <w:vMerge/>
            <w:shd w:val="clear" w:color="auto" w:fill="808080" w:themeFill="background1" w:themeFillShade="80"/>
            <w:vAlign w:val="center"/>
          </w:tcPr>
          <w:p w14:paraId="07DA388C" w14:textId="77777777" w:rsidR="00CC03D5" w:rsidRPr="00CC03D5" w:rsidRDefault="00CC03D5" w:rsidP="00CC03D5">
            <w:pPr>
              <w:pStyle w:val="TableParagraph"/>
              <w:jc w:val="center"/>
              <w:rPr>
                <w:rFonts w:ascii="Arial" w:eastAsia="Arial" w:hAnsi="Arial" w:cs="Arial"/>
                <w:b/>
                <w:bCs/>
                <w:color w:val="FFFFFF"/>
                <w:spacing w:val="-1"/>
                <w:sz w:val="16"/>
                <w:szCs w:val="16"/>
                <w:lang w:val="cs-CZ"/>
              </w:rPr>
            </w:pPr>
          </w:p>
        </w:tc>
        <w:tc>
          <w:tcPr>
            <w:tcW w:w="1168" w:type="dxa"/>
            <w:vMerge/>
            <w:shd w:val="clear" w:color="auto" w:fill="808080" w:themeFill="background1" w:themeFillShade="80"/>
            <w:vAlign w:val="center"/>
          </w:tcPr>
          <w:p w14:paraId="59B7F52D" w14:textId="77777777" w:rsidR="00CC03D5" w:rsidRPr="00CC03D5" w:rsidRDefault="00CC03D5" w:rsidP="00CC03D5">
            <w:pPr>
              <w:pStyle w:val="TableParagraph"/>
              <w:jc w:val="center"/>
              <w:rPr>
                <w:rFonts w:ascii="Arial" w:eastAsia="Arial" w:hAnsi="Arial" w:cs="Arial"/>
                <w:b/>
                <w:bCs/>
                <w:color w:val="FFFFFF"/>
                <w:sz w:val="16"/>
                <w:szCs w:val="16"/>
                <w:lang w:val="cs-CZ"/>
              </w:rPr>
            </w:pPr>
          </w:p>
        </w:tc>
        <w:tc>
          <w:tcPr>
            <w:tcW w:w="828" w:type="dxa"/>
            <w:vMerge/>
            <w:shd w:val="clear" w:color="auto" w:fill="808080" w:themeFill="background1" w:themeFillShade="80"/>
            <w:vAlign w:val="center"/>
          </w:tcPr>
          <w:p w14:paraId="0145A089" w14:textId="77777777" w:rsidR="00CC03D5" w:rsidRPr="00CC03D5" w:rsidRDefault="00CC03D5" w:rsidP="00CC03D5">
            <w:pPr>
              <w:pStyle w:val="TableParagraph"/>
              <w:ind w:firstLine="69"/>
              <w:jc w:val="center"/>
              <w:rPr>
                <w:rFonts w:ascii="Arial" w:eastAsia="Arial" w:hAnsi="Arial" w:cs="Arial"/>
                <w:b/>
                <w:bCs/>
                <w:color w:val="FFFFFF"/>
                <w:spacing w:val="2"/>
                <w:sz w:val="16"/>
                <w:szCs w:val="16"/>
                <w:lang w:val="cs-CZ"/>
              </w:rPr>
            </w:pPr>
          </w:p>
        </w:tc>
        <w:tc>
          <w:tcPr>
            <w:tcW w:w="773" w:type="dxa"/>
            <w:tcBorders>
              <w:bottom w:val="single" w:sz="4" w:space="0" w:color="auto"/>
            </w:tcBorders>
            <w:shd w:val="clear" w:color="auto" w:fill="92D050"/>
            <w:vAlign w:val="center"/>
          </w:tcPr>
          <w:p w14:paraId="672C4B6F" w14:textId="77777777" w:rsidR="00CC03D5" w:rsidRPr="00CC03D5" w:rsidRDefault="00CC03D5" w:rsidP="00CC03D5">
            <w:pPr>
              <w:pStyle w:val="TableParagraph"/>
              <w:jc w:val="center"/>
              <w:rPr>
                <w:rFonts w:ascii="Arial" w:eastAsia="Arial" w:hAnsi="Arial" w:cs="Arial"/>
                <w:b/>
                <w:bCs/>
                <w:color w:val="FFFFFF"/>
                <w:spacing w:val="-1"/>
                <w:sz w:val="16"/>
                <w:szCs w:val="16"/>
                <w:lang w:val="cs-CZ"/>
              </w:rPr>
            </w:pPr>
            <w:r w:rsidRPr="00CC03D5">
              <w:rPr>
                <w:rFonts w:ascii="Arial" w:eastAsia="Arial" w:hAnsi="Arial" w:cs="Arial"/>
                <w:b/>
                <w:bCs/>
                <w:color w:val="FFFFFF"/>
                <w:spacing w:val="-1"/>
                <w:sz w:val="16"/>
                <w:szCs w:val="16"/>
                <w:lang w:val="cs-CZ"/>
              </w:rPr>
              <w:t>stará</w:t>
            </w:r>
          </w:p>
        </w:tc>
        <w:tc>
          <w:tcPr>
            <w:tcW w:w="707" w:type="dxa"/>
            <w:tcBorders>
              <w:bottom w:val="single" w:sz="4" w:space="0" w:color="auto"/>
            </w:tcBorders>
            <w:shd w:val="clear" w:color="auto" w:fill="92D050"/>
            <w:vAlign w:val="center"/>
          </w:tcPr>
          <w:p w14:paraId="2956CCD9" w14:textId="77777777" w:rsidR="00CC03D5" w:rsidRPr="00CC03D5" w:rsidRDefault="00CC03D5" w:rsidP="00CC03D5">
            <w:pPr>
              <w:pStyle w:val="TableParagraph"/>
              <w:jc w:val="center"/>
              <w:rPr>
                <w:rFonts w:ascii="Arial" w:eastAsia="Arial" w:hAnsi="Arial" w:cs="Arial"/>
                <w:b/>
                <w:bCs/>
                <w:color w:val="FFFFFF"/>
                <w:spacing w:val="-1"/>
                <w:sz w:val="16"/>
                <w:szCs w:val="16"/>
                <w:lang w:val="cs-CZ"/>
              </w:rPr>
            </w:pPr>
            <w:r w:rsidRPr="00CC03D5">
              <w:rPr>
                <w:rFonts w:ascii="Arial" w:eastAsia="Arial" w:hAnsi="Arial" w:cs="Arial"/>
                <w:b/>
                <w:bCs/>
                <w:color w:val="FFFFFF"/>
                <w:spacing w:val="-1"/>
                <w:sz w:val="16"/>
                <w:szCs w:val="16"/>
                <w:lang w:val="cs-CZ"/>
              </w:rPr>
              <w:t>nová</w:t>
            </w:r>
          </w:p>
        </w:tc>
        <w:tc>
          <w:tcPr>
            <w:tcW w:w="1752" w:type="dxa"/>
            <w:tcBorders>
              <w:bottom w:val="single" w:sz="4" w:space="0" w:color="auto"/>
            </w:tcBorders>
            <w:shd w:val="clear" w:color="auto" w:fill="808080" w:themeFill="background1" w:themeFillShade="80"/>
            <w:vAlign w:val="center"/>
          </w:tcPr>
          <w:p w14:paraId="01FD78E0" w14:textId="77777777" w:rsidR="00CC03D5" w:rsidRPr="00CC03D5" w:rsidRDefault="00CC03D5" w:rsidP="00CC03D5">
            <w:pPr>
              <w:pStyle w:val="TableParagraph"/>
              <w:ind w:hanging="238"/>
              <w:jc w:val="center"/>
              <w:rPr>
                <w:rFonts w:ascii="Arial" w:eastAsia="Arial" w:hAnsi="Arial" w:cs="Arial"/>
                <w:b/>
                <w:bCs/>
                <w:color w:val="FFFFFF"/>
                <w:spacing w:val="-1"/>
                <w:sz w:val="16"/>
                <w:szCs w:val="16"/>
                <w:lang w:val="cs-CZ"/>
              </w:rPr>
            </w:pPr>
            <w:r w:rsidRPr="00CC03D5">
              <w:rPr>
                <w:rFonts w:ascii="Arial" w:eastAsia="Arial" w:hAnsi="Arial" w:cs="Arial"/>
                <w:b/>
                <w:bCs/>
                <w:color w:val="FFFFFF"/>
                <w:spacing w:val="-1"/>
                <w:sz w:val="16"/>
                <w:szCs w:val="16"/>
                <w:lang w:val="cs-CZ"/>
              </w:rPr>
              <w:t>původní</w:t>
            </w:r>
          </w:p>
        </w:tc>
        <w:tc>
          <w:tcPr>
            <w:tcW w:w="2694" w:type="dxa"/>
            <w:tcBorders>
              <w:bottom w:val="single" w:sz="4" w:space="0" w:color="auto"/>
            </w:tcBorders>
            <w:shd w:val="clear" w:color="auto" w:fill="808080" w:themeFill="background1" w:themeFillShade="80"/>
            <w:vAlign w:val="center"/>
          </w:tcPr>
          <w:p w14:paraId="7412ED42" w14:textId="77777777" w:rsidR="00CC03D5" w:rsidRPr="00CC03D5" w:rsidRDefault="00CC03D5" w:rsidP="00CC03D5">
            <w:pPr>
              <w:pStyle w:val="TableParagraph"/>
              <w:ind w:hanging="238"/>
              <w:jc w:val="center"/>
              <w:rPr>
                <w:rFonts w:ascii="Arial" w:eastAsia="Arial" w:hAnsi="Arial" w:cs="Arial"/>
                <w:b/>
                <w:bCs/>
                <w:color w:val="FFFFFF"/>
                <w:spacing w:val="-1"/>
                <w:sz w:val="16"/>
                <w:szCs w:val="16"/>
                <w:lang w:val="cs-CZ"/>
              </w:rPr>
            </w:pPr>
            <w:r w:rsidRPr="00CC03D5">
              <w:rPr>
                <w:rFonts w:ascii="Arial" w:eastAsia="Arial" w:hAnsi="Arial" w:cs="Arial"/>
                <w:b/>
                <w:bCs/>
                <w:color w:val="FFFFFF"/>
                <w:spacing w:val="-1"/>
                <w:sz w:val="16"/>
                <w:szCs w:val="16"/>
                <w:lang w:val="cs-CZ"/>
              </w:rPr>
              <w:t>nový</w:t>
            </w:r>
          </w:p>
        </w:tc>
        <w:tc>
          <w:tcPr>
            <w:tcW w:w="850" w:type="dxa"/>
            <w:tcBorders>
              <w:bottom w:val="single" w:sz="4" w:space="0" w:color="auto"/>
            </w:tcBorders>
            <w:shd w:val="clear" w:color="auto" w:fill="C45911" w:themeFill="accent2" w:themeFillShade="BF"/>
            <w:vAlign w:val="center"/>
          </w:tcPr>
          <w:p w14:paraId="1524EC8D" w14:textId="77777777" w:rsidR="00CC03D5" w:rsidRPr="00CC03D5" w:rsidRDefault="00CC03D5" w:rsidP="00CC03D5">
            <w:pPr>
              <w:pStyle w:val="TableParagraph"/>
              <w:jc w:val="center"/>
              <w:rPr>
                <w:rFonts w:ascii="Arial" w:eastAsia="Arial" w:hAnsi="Arial" w:cs="Arial"/>
                <w:b/>
                <w:bCs/>
                <w:color w:val="FFFFFF"/>
                <w:spacing w:val="-1"/>
                <w:sz w:val="16"/>
                <w:szCs w:val="16"/>
                <w:lang w:val="cs-CZ"/>
              </w:rPr>
            </w:pPr>
            <w:r w:rsidRPr="00CC03D5">
              <w:rPr>
                <w:rFonts w:ascii="Arial" w:eastAsia="Arial" w:hAnsi="Arial" w:cs="Arial"/>
                <w:b/>
                <w:bCs/>
                <w:color w:val="FFFFFF"/>
                <w:spacing w:val="-1"/>
                <w:sz w:val="16"/>
                <w:szCs w:val="16"/>
                <w:lang w:val="cs-CZ"/>
              </w:rPr>
              <w:t>stará</w:t>
            </w:r>
          </w:p>
        </w:tc>
        <w:tc>
          <w:tcPr>
            <w:tcW w:w="709" w:type="dxa"/>
            <w:tcBorders>
              <w:bottom w:val="single" w:sz="4" w:space="0" w:color="auto"/>
            </w:tcBorders>
            <w:shd w:val="clear" w:color="auto" w:fill="C45911" w:themeFill="accent2" w:themeFillShade="BF"/>
            <w:vAlign w:val="center"/>
          </w:tcPr>
          <w:p w14:paraId="44939319" w14:textId="77777777" w:rsidR="00CC03D5" w:rsidRPr="00CC03D5" w:rsidRDefault="00CC03D5" w:rsidP="00CC03D5">
            <w:pPr>
              <w:pStyle w:val="TableParagraph"/>
              <w:jc w:val="center"/>
              <w:rPr>
                <w:rFonts w:ascii="Arial" w:eastAsia="Arial" w:hAnsi="Arial" w:cs="Arial"/>
                <w:b/>
                <w:bCs/>
                <w:color w:val="FFFFFF"/>
                <w:spacing w:val="-1"/>
                <w:sz w:val="16"/>
                <w:szCs w:val="16"/>
                <w:lang w:val="cs-CZ"/>
              </w:rPr>
            </w:pPr>
            <w:r w:rsidRPr="00CC03D5">
              <w:rPr>
                <w:rFonts w:ascii="Arial" w:eastAsia="Arial" w:hAnsi="Arial" w:cs="Arial"/>
                <w:b/>
                <w:bCs/>
                <w:color w:val="FFFFFF"/>
                <w:spacing w:val="-1"/>
                <w:sz w:val="16"/>
                <w:szCs w:val="16"/>
                <w:lang w:val="cs-CZ"/>
              </w:rPr>
              <w:t>nová</w:t>
            </w:r>
          </w:p>
        </w:tc>
        <w:tc>
          <w:tcPr>
            <w:tcW w:w="1559" w:type="dxa"/>
            <w:tcBorders>
              <w:bottom w:val="single" w:sz="4" w:space="0" w:color="auto"/>
            </w:tcBorders>
            <w:shd w:val="clear" w:color="auto" w:fill="808080" w:themeFill="background1" w:themeFillShade="80"/>
            <w:vAlign w:val="center"/>
          </w:tcPr>
          <w:p w14:paraId="6C7EF08F" w14:textId="77777777" w:rsidR="00CC03D5" w:rsidRPr="00CC03D5" w:rsidRDefault="00CC03D5" w:rsidP="00CC03D5">
            <w:pPr>
              <w:pStyle w:val="TableParagraph"/>
              <w:ind w:hanging="238"/>
              <w:jc w:val="center"/>
              <w:rPr>
                <w:rFonts w:ascii="Arial" w:eastAsia="Arial" w:hAnsi="Arial" w:cs="Arial"/>
                <w:b/>
                <w:bCs/>
                <w:color w:val="FFFFFF"/>
                <w:spacing w:val="-1"/>
                <w:sz w:val="16"/>
                <w:szCs w:val="16"/>
                <w:lang w:val="cs-CZ"/>
              </w:rPr>
            </w:pPr>
            <w:r w:rsidRPr="00CC03D5">
              <w:rPr>
                <w:rFonts w:ascii="Arial" w:eastAsia="Arial" w:hAnsi="Arial" w:cs="Arial"/>
                <w:b/>
                <w:bCs/>
                <w:color w:val="FFFFFF"/>
                <w:spacing w:val="-1"/>
                <w:sz w:val="16"/>
                <w:szCs w:val="16"/>
                <w:lang w:val="cs-CZ"/>
              </w:rPr>
              <w:t>původní</w:t>
            </w:r>
          </w:p>
        </w:tc>
        <w:tc>
          <w:tcPr>
            <w:tcW w:w="2552" w:type="dxa"/>
            <w:tcBorders>
              <w:bottom w:val="single" w:sz="4" w:space="0" w:color="auto"/>
            </w:tcBorders>
            <w:shd w:val="clear" w:color="auto" w:fill="808080" w:themeFill="background1" w:themeFillShade="80"/>
            <w:vAlign w:val="center"/>
          </w:tcPr>
          <w:p w14:paraId="5CDF8CEB" w14:textId="77777777" w:rsidR="00CC03D5" w:rsidRPr="00CC03D5" w:rsidRDefault="00CC03D5" w:rsidP="00CC03D5">
            <w:pPr>
              <w:pStyle w:val="TableParagraph"/>
              <w:ind w:hanging="238"/>
              <w:jc w:val="center"/>
              <w:rPr>
                <w:rFonts w:ascii="Arial" w:eastAsia="Arial" w:hAnsi="Arial" w:cs="Arial"/>
                <w:b/>
                <w:bCs/>
                <w:color w:val="FFFFFF"/>
                <w:spacing w:val="-1"/>
                <w:sz w:val="16"/>
                <w:szCs w:val="16"/>
                <w:lang w:val="cs-CZ"/>
              </w:rPr>
            </w:pPr>
            <w:r w:rsidRPr="00CC03D5">
              <w:rPr>
                <w:rFonts w:ascii="Arial" w:eastAsia="Arial" w:hAnsi="Arial" w:cs="Arial"/>
                <w:b/>
                <w:bCs/>
                <w:color w:val="FFFFFF"/>
                <w:spacing w:val="-1"/>
                <w:sz w:val="16"/>
                <w:szCs w:val="16"/>
                <w:lang w:val="cs-CZ"/>
              </w:rPr>
              <w:t>nový</w:t>
            </w:r>
          </w:p>
        </w:tc>
      </w:tr>
      <w:tr w:rsidR="00170B66" w:rsidRPr="00CC03D5" w14:paraId="0918889C" w14:textId="77777777" w:rsidTr="00733615">
        <w:trPr>
          <w:cantSplit/>
        </w:trPr>
        <w:tc>
          <w:tcPr>
            <w:tcW w:w="0" w:type="auto"/>
            <w:tcBorders>
              <w:bottom w:val="single" w:sz="4" w:space="0" w:color="auto"/>
            </w:tcBorders>
            <w:vAlign w:val="center"/>
          </w:tcPr>
          <w:p w14:paraId="08034184" w14:textId="77777777" w:rsidR="00170B66" w:rsidRPr="00CC03D5" w:rsidRDefault="00170B66" w:rsidP="000A162D">
            <w:pPr>
              <w:pStyle w:val="TableParagraph"/>
              <w:jc w:val="center"/>
              <w:rPr>
                <w:rFonts w:ascii="Arial" w:eastAsia="Arial" w:hAnsi="Arial" w:cs="Arial"/>
                <w:sz w:val="16"/>
                <w:szCs w:val="16"/>
                <w:lang w:val="cs-CZ"/>
              </w:rPr>
            </w:pPr>
            <w:r w:rsidRPr="00CC03D5">
              <w:rPr>
                <w:rFonts w:ascii="Arial" w:eastAsia="Arial" w:hAnsi="Arial" w:cs="Arial"/>
                <w:b/>
                <w:bCs/>
                <w:sz w:val="16"/>
                <w:szCs w:val="16"/>
                <w:lang w:val="cs-CZ"/>
              </w:rPr>
              <w:t>1</w:t>
            </w:r>
          </w:p>
        </w:tc>
        <w:tc>
          <w:tcPr>
            <w:tcW w:w="1168" w:type="dxa"/>
            <w:tcBorders>
              <w:bottom w:val="single" w:sz="4" w:space="0" w:color="auto"/>
            </w:tcBorders>
            <w:vAlign w:val="center"/>
          </w:tcPr>
          <w:p w14:paraId="7FF5259D" w14:textId="77777777" w:rsidR="00170B66" w:rsidRPr="00CC03D5" w:rsidRDefault="00170B66" w:rsidP="000A162D">
            <w:pPr>
              <w:pStyle w:val="TableParagraph"/>
              <w:rPr>
                <w:rFonts w:ascii="Arial" w:eastAsia="Arial" w:hAnsi="Arial" w:cs="Arial"/>
                <w:sz w:val="16"/>
                <w:szCs w:val="16"/>
                <w:lang w:val="cs-CZ"/>
              </w:rPr>
            </w:pPr>
            <w:proofErr w:type="spellStart"/>
            <w:r w:rsidRPr="00CC03D5">
              <w:rPr>
                <w:rFonts w:ascii="Arial" w:eastAsia="Arial" w:hAnsi="Arial" w:cs="Arial"/>
                <w:b/>
                <w:bCs/>
                <w:spacing w:val="-1"/>
                <w:sz w:val="16"/>
                <w:szCs w:val="16"/>
                <w:lang w:val="cs-CZ"/>
              </w:rPr>
              <w:t>Hg</w:t>
            </w:r>
            <w:proofErr w:type="spellEnd"/>
          </w:p>
        </w:tc>
        <w:tc>
          <w:tcPr>
            <w:tcW w:w="828" w:type="dxa"/>
            <w:tcBorders>
              <w:bottom w:val="single" w:sz="4" w:space="0" w:color="auto"/>
            </w:tcBorders>
            <w:vAlign w:val="center"/>
          </w:tcPr>
          <w:p w14:paraId="7AB0EEDE" w14:textId="77777777" w:rsidR="00170B66" w:rsidRPr="00CC03D5" w:rsidRDefault="00170B66" w:rsidP="000A162D">
            <w:pPr>
              <w:pStyle w:val="TableParagraph"/>
              <w:jc w:val="center"/>
              <w:rPr>
                <w:rFonts w:ascii="Arial" w:eastAsia="Arial" w:hAnsi="Arial" w:cs="Arial"/>
                <w:sz w:val="16"/>
                <w:szCs w:val="16"/>
                <w:lang w:val="cs-CZ"/>
              </w:rPr>
            </w:pPr>
            <w:r w:rsidRPr="00CC03D5">
              <w:rPr>
                <w:rFonts w:ascii="Arial" w:eastAsia="Arial" w:hAnsi="Arial" w:cs="Arial"/>
                <w:b/>
                <w:bCs/>
                <w:sz w:val="16"/>
                <w:szCs w:val="16"/>
                <w:lang w:val="cs-CZ"/>
              </w:rPr>
              <w:t>mg/</w:t>
            </w:r>
            <w:r w:rsidRPr="00CC03D5">
              <w:rPr>
                <w:rFonts w:ascii="Arial" w:eastAsia="Arial" w:hAnsi="Arial" w:cs="Arial"/>
                <w:b/>
                <w:bCs/>
                <w:spacing w:val="-3"/>
                <w:sz w:val="16"/>
                <w:szCs w:val="16"/>
                <w:lang w:val="cs-CZ"/>
              </w:rPr>
              <w:t>k</w:t>
            </w:r>
            <w:r w:rsidRPr="00CC03D5">
              <w:rPr>
                <w:rFonts w:ascii="Arial" w:eastAsia="Arial" w:hAnsi="Arial" w:cs="Arial"/>
                <w:b/>
                <w:bCs/>
                <w:sz w:val="16"/>
                <w:szCs w:val="16"/>
                <w:lang w:val="cs-CZ"/>
              </w:rPr>
              <w:t>g</w:t>
            </w:r>
          </w:p>
        </w:tc>
        <w:tc>
          <w:tcPr>
            <w:tcW w:w="1480" w:type="dxa"/>
            <w:gridSpan w:val="2"/>
            <w:tcBorders>
              <w:bottom w:val="single" w:sz="4" w:space="0" w:color="auto"/>
            </w:tcBorders>
            <w:shd w:val="clear" w:color="auto" w:fill="CAFBA5"/>
            <w:vAlign w:val="center"/>
          </w:tcPr>
          <w:p w14:paraId="70C8BE25" w14:textId="77777777" w:rsidR="00170B66" w:rsidRPr="00CC03D5" w:rsidRDefault="00170B66" w:rsidP="000A162D">
            <w:pPr>
              <w:pStyle w:val="TableParagraph"/>
              <w:jc w:val="center"/>
              <w:rPr>
                <w:rFonts w:ascii="Arial" w:eastAsia="Arial" w:hAnsi="Arial" w:cs="Arial"/>
                <w:spacing w:val="-1"/>
                <w:sz w:val="16"/>
                <w:szCs w:val="16"/>
                <w:lang w:val="cs-CZ"/>
              </w:rPr>
            </w:pPr>
            <w:r w:rsidRPr="00CC03D5">
              <w:rPr>
                <w:rFonts w:ascii="Arial" w:eastAsia="Arial" w:hAnsi="Arial" w:cs="Arial"/>
                <w:b/>
                <w:bCs/>
                <w:spacing w:val="-1"/>
                <w:sz w:val="16"/>
                <w:szCs w:val="16"/>
                <w:lang w:val="cs-CZ"/>
              </w:rPr>
              <w:t>0</w:t>
            </w:r>
            <w:r w:rsidRPr="00CC03D5">
              <w:rPr>
                <w:rFonts w:ascii="Arial" w:eastAsia="Arial" w:hAnsi="Arial" w:cs="Arial"/>
                <w:b/>
                <w:bCs/>
                <w:sz w:val="16"/>
                <w:szCs w:val="16"/>
                <w:lang w:val="cs-CZ"/>
              </w:rPr>
              <w:t>,</w:t>
            </w:r>
            <w:r w:rsidRPr="00CC03D5">
              <w:rPr>
                <w:rFonts w:ascii="Arial" w:eastAsia="Arial" w:hAnsi="Arial" w:cs="Arial"/>
                <w:b/>
                <w:bCs/>
                <w:spacing w:val="-1"/>
                <w:sz w:val="16"/>
                <w:szCs w:val="16"/>
                <w:lang w:val="cs-CZ"/>
              </w:rPr>
              <w:t>15</w:t>
            </w:r>
          </w:p>
        </w:tc>
        <w:tc>
          <w:tcPr>
            <w:tcW w:w="1752" w:type="dxa"/>
            <w:tcBorders>
              <w:bottom w:val="single" w:sz="4" w:space="0" w:color="auto"/>
            </w:tcBorders>
            <w:shd w:val="clear" w:color="auto" w:fill="CAFBA5"/>
            <w:vAlign w:val="center"/>
          </w:tcPr>
          <w:p w14:paraId="60338940" w14:textId="77777777" w:rsidR="00170B66" w:rsidRPr="00CC03D5" w:rsidRDefault="00170B66" w:rsidP="000A162D">
            <w:pPr>
              <w:pStyle w:val="TableParagraph"/>
              <w:jc w:val="center"/>
              <w:rPr>
                <w:rFonts w:ascii="Arial" w:eastAsia="Arial" w:hAnsi="Arial" w:cs="Arial"/>
                <w:sz w:val="16"/>
                <w:szCs w:val="16"/>
                <w:lang w:val="cs-CZ"/>
              </w:rPr>
            </w:pPr>
            <w:r w:rsidRPr="00CC03D5">
              <w:rPr>
                <w:rFonts w:ascii="Arial" w:eastAsia="Arial" w:hAnsi="Arial" w:cs="Arial"/>
                <w:spacing w:val="-1"/>
                <w:sz w:val="16"/>
                <w:szCs w:val="16"/>
                <w:lang w:val="cs-CZ"/>
              </w:rPr>
              <w:t>O</w:t>
            </w:r>
            <w:r w:rsidRPr="00CC03D5">
              <w:rPr>
                <w:rFonts w:ascii="Arial" w:eastAsia="Arial" w:hAnsi="Arial" w:cs="Arial"/>
                <w:sz w:val="16"/>
                <w:szCs w:val="16"/>
                <w:lang w:val="cs-CZ"/>
              </w:rPr>
              <w:t>S</w:t>
            </w:r>
            <w:r w:rsidRPr="00CC03D5">
              <w:rPr>
                <w:rFonts w:ascii="Arial" w:eastAsia="Arial" w:hAnsi="Arial" w:cs="Arial"/>
                <w:spacing w:val="-2"/>
                <w:sz w:val="16"/>
                <w:szCs w:val="16"/>
                <w:lang w:val="cs-CZ"/>
              </w:rPr>
              <w:t>P</w:t>
            </w:r>
            <w:r w:rsidRPr="00CC03D5">
              <w:rPr>
                <w:rFonts w:ascii="Arial" w:eastAsia="Arial" w:hAnsi="Arial" w:cs="Arial"/>
                <w:sz w:val="16"/>
                <w:szCs w:val="16"/>
                <w:lang w:val="cs-CZ"/>
              </w:rPr>
              <w:t>AR</w:t>
            </w:r>
            <w:r w:rsidRPr="00CC03D5">
              <w:rPr>
                <w:rFonts w:ascii="Arial" w:eastAsia="Arial" w:hAnsi="Arial" w:cs="Arial"/>
                <w:spacing w:val="-3"/>
                <w:sz w:val="16"/>
                <w:szCs w:val="16"/>
                <w:lang w:val="cs-CZ"/>
              </w:rPr>
              <w:t xml:space="preserve"> </w:t>
            </w:r>
            <w:r w:rsidRPr="00CC03D5">
              <w:rPr>
                <w:rFonts w:ascii="Arial" w:eastAsia="Arial" w:hAnsi="Arial" w:cs="Arial"/>
                <w:sz w:val="16"/>
                <w:szCs w:val="16"/>
                <w:lang w:val="cs-CZ"/>
              </w:rPr>
              <w:t>EAC</w:t>
            </w:r>
          </w:p>
        </w:tc>
        <w:tc>
          <w:tcPr>
            <w:tcW w:w="2694" w:type="dxa"/>
            <w:tcBorders>
              <w:bottom w:val="single" w:sz="4" w:space="0" w:color="auto"/>
            </w:tcBorders>
            <w:shd w:val="clear" w:color="auto" w:fill="CAFBA5"/>
            <w:vAlign w:val="center"/>
          </w:tcPr>
          <w:p w14:paraId="3425472C" w14:textId="77777777" w:rsidR="00170B66" w:rsidRPr="00CC03D5" w:rsidRDefault="00170B66" w:rsidP="000A162D">
            <w:pPr>
              <w:pStyle w:val="TableParagraph"/>
              <w:jc w:val="center"/>
              <w:rPr>
                <w:rFonts w:ascii="Arial" w:eastAsia="Calibri" w:hAnsi="Arial" w:cs="Arial"/>
                <w:sz w:val="16"/>
                <w:szCs w:val="16"/>
                <w:lang w:val="cs-CZ"/>
              </w:rPr>
            </w:pPr>
            <w:r w:rsidRPr="00CC03D5">
              <w:rPr>
                <w:rFonts w:ascii="Arial" w:hAnsi="Arial" w:cs="Arial"/>
                <w:spacing w:val="-1"/>
                <w:sz w:val="16"/>
                <w:szCs w:val="16"/>
                <w:lang w:val="cs-CZ"/>
              </w:rPr>
              <w:t>FGG Elbe 2013 / IKSE 2014</w:t>
            </w:r>
          </w:p>
        </w:tc>
        <w:tc>
          <w:tcPr>
            <w:tcW w:w="1559" w:type="dxa"/>
            <w:gridSpan w:val="2"/>
            <w:tcBorders>
              <w:bottom w:val="single" w:sz="4" w:space="0" w:color="auto"/>
            </w:tcBorders>
            <w:shd w:val="clear" w:color="auto" w:fill="F7CAAC" w:themeFill="accent2" w:themeFillTint="66"/>
            <w:vAlign w:val="center"/>
          </w:tcPr>
          <w:p w14:paraId="1528448B" w14:textId="77777777" w:rsidR="00170B66" w:rsidRPr="00CC03D5" w:rsidRDefault="00170B66" w:rsidP="000A162D">
            <w:pPr>
              <w:pStyle w:val="TableParagraph"/>
              <w:jc w:val="center"/>
              <w:rPr>
                <w:rFonts w:ascii="Arial" w:eastAsia="Arial" w:hAnsi="Arial" w:cs="Arial"/>
                <w:spacing w:val="-1"/>
                <w:sz w:val="16"/>
                <w:szCs w:val="16"/>
                <w:lang w:val="cs-CZ"/>
              </w:rPr>
            </w:pPr>
            <w:r w:rsidRPr="00CC03D5">
              <w:rPr>
                <w:rFonts w:ascii="Arial" w:eastAsia="Arial" w:hAnsi="Arial" w:cs="Arial"/>
                <w:b/>
                <w:bCs/>
                <w:spacing w:val="-1"/>
                <w:sz w:val="16"/>
                <w:szCs w:val="16"/>
                <w:lang w:val="cs-CZ"/>
              </w:rPr>
              <w:t>0</w:t>
            </w:r>
            <w:r w:rsidRPr="00CC03D5">
              <w:rPr>
                <w:rFonts w:ascii="Arial" w:eastAsia="Arial" w:hAnsi="Arial" w:cs="Arial"/>
                <w:b/>
                <w:bCs/>
                <w:sz w:val="16"/>
                <w:szCs w:val="16"/>
                <w:lang w:val="cs-CZ"/>
              </w:rPr>
              <w:t>,</w:t>
            </w:r>
            <w:r w:rsidRPr="00CC03D5">
              <w:rPr>
                <w:rFonts w:ascii="Arial" w:eastAsia="Arial" w:hAnsi="Arial" w:cs="Arial"/>
                <w:b/>
                <w:bCs/>
                <w:spacing w:val="-1"/>
                <w:sz w:val="16"/>
                <w:szCs w:val="16"/>
                <w:lang w:val="cs-CZ"/>
              </w:rPr>
              <w:t>47</w:t>
            </w:r>
          </w:p>
        </w:tc>
        <w:tc>
          <w:tcPr>
            <w:tcW w:w="1559" w:type="dxa"/>
            <w:tcBorders>
              <w:bottom w:val="single" w:sz="4" w:space="0" w:color="auto"/>
            </w:tcBorders>
            <w:shd w:val="clear" w:color="auto" w:fill="F7CAAC" w:themeFill="accent2" w:themeFillTint="66"/>
            <w:vAlign w:val="center"/>
          </w:tcPr>
          <w:p w14:paraId="44DA4F01" w14:textId="77777777" w:rsidR="00170B66" w:rsidRPr="00CC03D5" w:rsidRDefault="00170B66" w:rsidP="000A162D">
            <w:pPr>
              <w:pStyle w:val="TableParagraph"/>
              <w:jc w:val="center"/>
              <w:rPr>
                <w:rFonts w:ascii="Arial" w:eastAsia="Arial" w:hAnsi="Arial" w:cs="Arial"/>
                <w:sz w:val="16"/>
                <w:szCs w:val="16"/>
                <w:lang w:val="cs-CZ"/>
              </w:rPr>
            </w:pPr>
            <w:r w:rsidRPr="00CC03D5">
              <w:rPr>
                <w:rFonts w:ascii="Arial" w:eastAsia="Arial" w:hAnsi="Arial" w:cs="Arial"/>
                <w:spacing w:val="-1"/>
                <w:sz w:val="16"/>
                <w:szCs w:val="16"/>
                <w:lang w:val="cs-CZ"/>
              </w:rPr>
              <w:t>23</w:t>
            </w:r>
            <w:r w:rsidRPr="00CC03D5">
              <w:rPr>
                <w:rFonts w:ascii="Arial" w:eastAsia="Arial" w:hAnsi="Arial" w:cs="Arial"/>
                <w:sz w:val="16"/>
                <w:szCs w:val="16"/>
                <w:lang w:val="cs-CZ"/>
              </w:rPr>
              <w:t>/</w:t>
            </w:r>
            <w:r w:rsidRPr="00CC03D5">
              <w:rPr>
                <w:rFonts w:ascii="Arial" w:eastAsia="Arial" w:hAnsi="Arial" w:cs="Arial"/>
                <w:spacing w:val="-1"/>
                <w:sz w:val="16"/>
                <w:szCs w:val="16"/>
                <w:lang w:val="cs-CZ"/>
              </w:rPr>
              <w:t>201</w:t>
            </w:r>
            <w:r w:rsidRPr="00CC03D5">
              <w:rPr>
                <w:rFonts w:ascii="Arial" w:eastAsia="Arial" w:hAnsi="Arial" w:cs="Arial"/>
                <w:sz w:val="16"/>
                <w:szCs w:val="16"/>
                <w:lang w:val="cs-CZ"/>
              </w:rPr>
              <w:t>1 S</w:t>
            </w:r>
            <w:r w:rsidRPr="00CC03D5">
              <w:rPr>
                <w:rFonts w:ascii="Arial" w:eastAsia="Arial" w:hAnsi="Arial" w:cs="Arial"/>
                <w:spacing w:val="-1"/>
                <w:sz w:val="16"/>
                <w:szCs w:val="16"/>
                <w:lang w:val="cs-CZ"/>
              </w:rPr>
              <w:t>b.</w:t>
            </w:r>
          </w:p>
        </w:tc>
        <w:tc>
          <w:tcPr>
            <w:tcW w:w="2552" w:type="dxa"/>
            <w:tcBorders>
              <w:bottom w:val="single" w:sz="4" w:space="0" w:color="auto"/>
            </w:tcBorders>
            <w:shd w:val="clear" w:color="auto" w:fill="F7CAAC" w:themeFill="accent2" w:themeFillTint="66"/>
            <w:vAlign w:val="center"/>
          </w:tcPr>
          <w:p w14:paraId="0615B049" w14:textId="77777777" w:rsidR="00170B66" w:rsidRPr="00CC03D5" w:rsidRDefault="00170B66" w:rsidP="000A162D">
            <w:pPr>
              <w:pStyle w:val="TableParagraph"/>
              <w:jc w:val="center"/>
              <w:rPr>
                <w:rFonts w:ascii="Arial" w:eastAsia="Calibri" w:hAnsi="Arial" w:cs="Arial"/>
                <w:sz w:val="16"/>
                <w:szCs w:val="16"/>
                <w:lang w:val="cs-CZ"/>
              </w:rPr>
            </w:pPr>
            <w:r w:rsidRPr="00CC03D5">
              <w:rPr>
                <w:rFonts w:ascii="Arial" w:hAnsi="Arial" w:cs="Arial"/>
                <w:spacing w:val="-1"/>
                <w:sz w:val="16"/>
                <w:szCs w:val="16"/>
                <w:lang w:val="cs-CZ"/>
              </w:rPr>
              <w:t>FGG Elbe 2013 / IKSE 2014</w:t>
            </w:r>
          </w:p>
        </w:tc>
      </w:tr>
      <w:tr w:rsidR="00170B66" w:rsidRPr="00CC03D5" w14:paraId="4E21125D" w14:textId="77777777" w:rsidTr="00733615">
        <w:trPr>
          <w:cantSplit/>
        </w:trPr>
        <w:tc>
          <w:tcPr>
            <w:tcW w:w="0" w:type="auto"/>
            <w:shd w:val="clear" w:color="auto" w:fill="D9D9D9" w:themeFill="background1" w:themeFillShade="D9"/>
            <w:vAlign w:val="center"/>
          </w:tcPr>
          <w:p w14:paraId="0D3D82F8" w14:textId="77777777" w:rsidR="00170B66" w:rsidRPr="00CC03D5" w:rsidRDefault="00170B66" w:rsidP="000A162D">
            <w:pPr>
              <w:pStyle w:val="TableParagraph"/>
              <w:jc w:val="center"/>
              <w:rPr>
                <w:rFonts w:ascii="Arial" w:eastAsia="Arial" w:hAnsi="Arial" w:cs="Arial"/>
                <w:sz w:val="16"/>
                <w:szCs w:val="16"/>
                <w:lang w:val="cs-CZ"/>
              </w:rPr>
            </w:pPr>
            <w:r w:rsidRPr="00CC03D5">
              <w:rPr>
                <w:rFonts w:ascii="Arial" w:eastAsia="Arial" w:hAnsi="Arial" w:cs="Arial"/>
                <w:b/>
                <w:bCs/>
                <w:sz w:val="16"/>
                <w:szCs w:val="16"/>
                <w:lang w:val="cs-CZ"/>
              </w:rPr>
              <w:t>2</w:t>
            </w:r>
          </w:p>
        </w:tc>
        <w:tc>
          <w:tcPr>
            <w:tcW w:w="1168" w:type="dxa"/>
            <w:shd w:val="clear" w:color="auto" w:fill="D9D9D9" w:themeFill="background1" w:themeFillShade="D9"/>
            <w:vAlign w:val="center"/>
          </w:tcPr>
          <w:p w14:paraId="0BD623B6" w14:textId="77777777" w:rsidR="00170B66" w:rsidRPr="00CC03D5" w:rsidRDefault="00170B66" w:rsidP="000A162D">
            <w:pPr>
              <w:pStyle w:val="TableParagraph"/>
              <w:rPr>
                <w:rFonts w:ascii="Arial" w:eastAsia="Arial" w:hAnsi="Arial" w:cs="Arial"/>
                <w:sz w:val="16"/>
                <w:szCs w:val="16"/>
                <w:lang w:val="cs-CZ"/>
              </w:rPr>
            </w:pPr>
            <w:r w:rsidRPr="00CC03D5">
              <w:rPr>
                <w:rFonts w:ascii="Arial" w:eastAsia="Arial" w:hAnsi="Arial" w:cs="Arial"/>
                <w:b/>
                <w:bCs/>
                <w:spacing w:val="-1"/>
                <w:sz w:val="16"/>
                <w:szCs w:val="16"/>
                <w:lang w:val="cs-CZ"/>
              </w:rPr>
              <w:t>Cd</w:t>
            </w:r>
          </w:p>
        </w:tc>
        <w:tc>
          <w:tcPr>
            <w:tcW w:w="828" w:type="dxa"/>
            <w:shd w:val="clear" w:color="auto" w:fill="D9D9D9" w:themeFill="background1" w:themeFillShade="D9"/>
            <w:vAlign w:val="center"/>
          </w:tcPr>
          <w:p w14:paraId="3124B8C3" w14:textId="77777777" w:rsidR="00170B66" w:rsidRPr="00CC03D5" w:rsidRDefault="00170B66" w:rsidP="000A162D">
            <w:pPr>
              <w:pStyle w:val="TableParagraph"/>
              <w:jc w:val="center"/>
              <w:rPr>
                <w:rFonts w:ascii="Arial" w:eastAsia="Arial" w:hAnsi="Arial" w:cs="Arial"/>
                <w:sz w:val="16"/>
                <w:szCs w:val="16"/>
                <w:lang w:val="cs-CZ"/>
              </w:rPr>
            </w:pPr>
            <w:r w:rsidRPr="00CC03D5">
              <w:rPr>
                <w:rFonts w:ascii="Arial" w:eastAsia="Arial" w:hAnsi="Arial" w:cs="Arial"/>
                <w:b/>
                <w:bCs/>
                <w:sz w:val="16"/>
                <w:szCs w:val="16"/>
                <w:lang w:val="cs-CZ"/>
              </w:rPr>
              <w:t>mg/</w:t>
            </w:r>
            <w:r w:rsidRPr="00CC03D5">
              <w:rPr>
                <w:rFonts w:ascii="Arial" w:eastAsia="Arial" w:hAnsi="Arial" w:cs="Arial"/>
                <w:b/>
                <w:bCs/>
                <w:spacing w:val="-3"/>
                <w:sz w:val="16"/>
                <w:szCs w:val="16"/>
                <w:lang w:val="cs-CZ"/>
              </w:rPr>
              <w:t>k</w:t>
            </w:r>
            <w:r w:rsidRPr="00CC03D5">
              <w:rPr>
                <w:rFonts w:ascii="Arial" w:eastAsia="Arial" w:hAnsi="Arial" w:cs="Arial"/>
                <w:b/>
                <w:bCs/>
                <w:sz w:val="16"/>
                <w:szCs w:val="16"/>
                <w:lang w:val="cs-CZ"/>
              </w:rPr>
              <w:t>g</w:t>
            </w:r>
          </w:p>
        </w:tc>
        <w:tc>
          <w:tcPr>
            <w:tcW w:w="1480" w:type="dxa"/>
            <w:gridSpan w:val="2"/>
            <w:tcBorders>
              <w:bottom w:val="single" w:sz="4" w:space="0" w:color="auto"/>
            </w:tcBorders>
            <w:shd w:val="clear" w:color="auto" w:fill="D9D9D9" w:themeFill="background1" w:themeFillShade="D9"/>
            <w:vAlign w:val="center"/>
          </w:tcPr>
          <w:p w14:paraId="68D0DACB" w14:textId="77777777" w:rsidR="00170B66" w:rsidRPr="00CC03D5" w:rsidRDefault="00170B66" w:rsidP="000A162D">
            <w:pPr>
              <w:pStyle w:val="TableParagraph"/>
              <w:jc w:val="center"/>
              <w:rPr>
                <w:rFonts w:ascii="Arial" w:eastAsia="Arial" w:hAnsi="Arial" w:cs="Arial"/>
                <w:sz w:val="16"/>
                <w:szCs w:val="16"/>
                <w:lang w:val="cs-CZ"/>
              </w:rPr>
            </w:pPr>
            <w:r w:rsidRPr="00CC03D5">
              <w:rPr>
                <w:rFonts w:ascii="Arial" w:eastAsia="Arial" w:hAnsi="Arial" w:cs="Arial"/>
                <w:b/>
                <w:bCs/>
                <w:spacing w:val="-1"/>
                <w:sz w:val="16"/>
                <w:szCs w:val="16"/>
                <w:lang w:val="cs-CZ"/>
              </w:rPr>
              <w:t>0</w:t>
            </w:r>
            <w:r w:rsidRPr="00CC03D5">
              <w:rPr>
                <w:rFonts w:ascii="Arial" w:eastAsia="Arial" w:hAnsi="Arial" w:cs="Arial"/>
                <w:b/>
                <w:bCs/>
                <w:sz w:val="16"/>
                <w:szCs w:val="16"/>
                <w:lang w:val="cs-CZ"/>
              </w:rPr>
              <w:t>,</w:t>
            </w:r>
            <w:r w:rsidRPr="00CC03D5">
              <w:rPr>
                <w:rFonts w:ascii="Arial" w:eastAsia="Arial" w:hAnsi="Arial" w:cs="Arial"/>
                <w:b/>
                <w:bCs/>
                <w:spacing w:val="-1"/>
                <w:sz w:val="16"/>
                <w:szCs w:val="16"/>
                <w:lang w:val="cs-CZ"/>
              </w:rPr>
              <w:t>22</w:t>
            </w:r>
          </w:p>
        </w:tc>
        <w:tc>
          <w:tcPr>
            <w:tcW w:w="1752" w:type="dxa"/>
            <w:tcBorders>
              <w:bottom w:val="single" w:sz="4" w:space="0" w:color="auto"/>
            </w:tcBorders>
            <w:shd w:val="clear" w:color="auto" w:fill="D9D9D9" w:themeFill="background1" w:themeFillShade="D9"/>
            <w:vAlign w:val="center"/>
          </w:tcPr>
          <w:p w14:paraId="2F66824D" w14:textId="77777777" w:rsidR="00170B66" w:rsidRPr="00CC03D5" w:rsidRDefault="00733615" w:rsidP="000A162D">
            <w:pPr>
              <w:pStyle w:val="TableParagraph"/>
              <w:jc w:val="center"/>
              <w:rPr>
                <w:rFonts w:ascii="Arial" w:eastAsia="Arial" w:hAnsi="Arial" w:cs="Arial"/>
                <w:sz w:val="16"/>
                <w:szCs w:val="16"/>
                <w:lang w:val="cs-CZ"/>
              </w:rPr>
            </w:pPr>
            <w:r w:rsidRPr="00CC03D5">
              <w:rPr>
                <w:rFonts w:ascii="Arial" w:eastAsia="Arial" w:hAnsi="Arial" w:cs="Arial"/>
                <w:sz w:val="16"/>
                <w:szCs w:val="16"/>
                <w:lang w:val="cs-CZ"/>
              </w:rPr>
              <w:t>norma EU o rybách</w:t>
            </w:r>
          </w:p>
        </w:tc>
        <w:tc>
          <w:tcPr>
            <w:tcW w:w="2694" w:type="dxa"/>
            <w:tcBorders>
              <w:bottom w:val="single" w:sz="4" w:space="0" w:color="auto"/>
            </w:tcBorders>
            <w:shd w:val="clear" w:color="auto" w:fill="D9D9D9" w:themeFill="background1" w:themeFillShade="D9"/>
            <w:vAlign w:val="center"/>
          </w:tcPr>
          <w:p w14:paraId="0AA194AD" w14:textId="77777777" w:rsidR="00170B66" w:rsidRPr="00CC03D5" w:rsidRDefault="00170B66" w:rsidP="000A162D">
            <w:pPr>
              <w:pStyle w:val="TableParagraph"/>
              <w:jc w:val="center"/>
              <w:rPr>
                <w:rFonts w:ascii="Arial" w:eastAsia="Calibri" w:hAnsi="Arial" w:cs="Arial"/>
                <w:sz w:val="16"/>
                <w:szCs w:val="16"/>
                <w:lang w:val="cs-CZ"/>
              </w:rPr>
            </w:pPr>
            <w:r w:rsidRPr="00CC03D5">
              <w:rPr>
                <w:rFonts w:ascii="Arial" w:hAnsi="Arial" w:cs="Arial"/>
                <w:spacing w:val="-1"/>
                <w:sz w:val="16"/>
                <w:szCs w:val="16"/>
                <w:lang w:val="cs-CZ"/>
              </w:rPr>
              <w:t>FGG Elbe 2013 / IKSE 2014</w:t>
            </w:r>
          </w:p>
        </w:tc>
        <w:tc>
          <w:tcPr>
            <w:tcW w:w="1559" w:type="dxa"/>
            <w:gridSpan w:val="2"/>
            <w:tcBorders>
              <w:bottom w:val="single" w:sz="4" w:space="0" w:color="auto"/>
            </w:tcBorders>
            <w:shd w:val="clear" w:color="auto" w:fill="D9D9D9" w:themeFill="background1" w:themeFillShade="D9"/>
            <w:vAlign w:val="center"/>
          </w:tcPr>
          <w:p w14:paraId="73D15602" w14:textId="77777777" w:rsidR="00170B66" w:rsidRPr="00CC03D5" w:rsidRDefault="00170B66" w:rsidP="000A162D">
            <w:pPr>
              <w:pStyle w:val="TableParagraph"/>
              <w:jc w:val="center"/>
              <w:rPr>
                <w:rFonts w:ascii="Arial" w:eastAsia="Arial" w:hAnsi="Arial" w:cs="Arial"/>
                <w:spacing w:val="-1"/>
                <w:sz w:val="16"/>
                <w:szCs w:val="16"/>
                <w:lang w:val="cs-CZ"/>
              </w:rPr>
            </w:pPr>
            <w:r w:rsidRPr="00CC03D5">
              <w:rPr>
                <w:rFonts w:ascii="Arial" w:eastAsia="Arial" w:hAnsi="Arial" w:cs="Arial"/>
                <w:b/>
                <w:bCs/>
                <w:spacing w:val="-1"/>
                <w:sz w:val="16"/>
                <w:szCs w:val="16"/>
                <w:lang w:val="cs-CZ"/>
              </w:rPr>
              <w:t>2</w:t>
            </w:r>
            <w:r w:rsidRPr="00CC03D5">
              <w:rPr>
                <w:rFonts w:ascii="Arial" w:eastAsia="Arial" w:hAnsi="Arial" w:cs="Arial"/>
                <w:b/>
                <w:bCs/>
                <w:sz w:val="16"/>
                <w:szCs w:val="16"/>
                <w:lang w:val="cs-CZ"/>
              </w:rPr>
              <w:t>,3</w:t>
            </w:r>
          </w:p>
        </w:tc>
        <w:tc>
          <w:tcPr>
            <w:tcW w:w="1559" w:type="dxa"/>
            <w:tcBorders>
              <w:bottom w:val="single" w:sz="4" w:space="0" w:color="auto"/>
            </w:tcBorders>
            <w:shd w:val="clear" w:color="auto" w:fill="D9D9D9" w:themeFill="background1" w:themeFillShade="D9"/>
            <w:vAlign w:val="center"/>
          </w:tcPr>
          <w:p w14:paraId="40DD8E87" w14:textId="77777777" w:rsidR="00170B66" w:rsidRPr="00CC03D5" w:rsidRDefault="00170B66" w:rsidP="000A162D">
            <w:pPr>
              <w:pStyle w:val="TableParagraph"/>
              <w:jc w:val="center"/>
              <w:rPr>
                <w:rFonts w:ascii="Arial" w:eastAsia="Arial" w:hAnsi="Arial" w:cs="Arial"/>
                <w:sz w:val="16"/>
                <w:szCs w:val="16"/>
                <w:lang w:val="cs-CZ"/>
              </w:rPr>
            </w:pPr>
            <w:r w:rsidRPr="00CC03D5">
              <w:rPr>
                <w:rFonts w:ascii="Arial" w:eastAsia="Arial" w:hAnsi="Arial" w:cs="Arial"/>
                <w:spacing w:val="-1"/>
                <w:sz w:val="16"/>
                <w:szCs w:val="16"/>
                <w:lang w:val="cs-CZ"/>
              </w:rPr>
              <w:t>23</w:t>
            </w:r>
            <w:r w:rsidRPr="00CC03D5">
              <w:rPr>
                <w:rFonts w:ascii="Arial" w:eastAsia="Arial" w:hAnsi="Arial" w:cs="Arial"/>
                <w:sz w:val="16"/>
                <w:szCs w:val="16"/>
                <w:lang w:val="cs-CZ"/>
              </w:rPr>
              <w:t>/</w:t>
            </w:r>
            <w:r w:rsidRPr="00CC03D5">
              <w:rPr>
                <w:rFonts w:ascii="Arial" w:eastAsia="Arial" w:hAnsi="Arial" w:cs="Arial"/>
                <w:spacing w:val="-1"/>
                <w:sz w:val="16"/>
                <w:szCs w:val="16"/>
                <w:lang w:val="cs-CZ"/>
              </w:rPr>
              <w:t>201</w:t>
            </w:r>
            <w:r w:rsidRPr="00CC03D5">
              <w:rPr>
                <w:rFonts w:ascii="Arial" w:eastAsia="Arial" w:hAnsi="Arial" w:cs="Arial"/>
                <w:sz w:val="16"/>
                <w:szCs w:val="16"/>
                <w:lang w:val="cs-CZ"/>
              </w:rPr>
              <w:t>1 S</w:t>
            </w:r>
            <w:r w:rsidRPr="00CC03D5">
              <w:rPr>
                <w:rFonts w:ascii="Arial" w:eastAsia="Arial" w:hAnsi="Arial" w:cs="Arial"/>
                <w:spacing w:val="-1"/>
                <w:sz w:val="16"/>
                <w:szCs w:val="16"/>
                <w:lang w:val="cs-CZ"/>
              </w:rPr>
              <w:t>b.</w:t>
            </w:r>
          </w:p>
        </w:tc>
        <w:tc>
          <w:tcPr>
            <w:tcW w:w="2552" w:type="dxa"/>
            <w:tcBorders>
              <w:bottom w:val="single" w:sz="4" w:space="0" w:color="auto"/>
            </w:tcBorders>
            <w:shd w:val="clear" w:color="auto" w:fill="D9D9D9" w:themeFill="background1" w:themeFillShade="D9"/>
            <w:vAlign w:val="center"/>
          </w:tcPr>
          <w:p w14:paraId="0EB19801" w14:textId="77777777" w:rsidR="00170B66" w:rsidRPr="00CC03D5" w:rsidRDefault="00170B66" w:rsidP="000A162D">
            <w:pPr>
              <w:pStyle w:val="TableParagraph"/>
              <w:jc w:val="center"/>
              <w:rPr>
                <w:rFonts w:ascii="Arial" w:eastAsia="Calibri" w:hAnsi="Arial" w:cs="Arial"/>
                <w:sz w:val="16"/>
                <w:szCs w:val="16"/>
                <w:lang w:val="cs-CZ"/>
              </w:rPr>
            </w:pPr>
            <w:r w:rsidRPr="00CC03D5">
              <w:rPr>
                <w:rFonts w:ascii="Arial" w:hAnsi="Arial" w:cs="Arial"/>
                <w:spacing w:val="-1"/>
                <w:sz w:val="16"/>
                <w:szCs w:val="16"/>
                <w:lang w:val="cs-CZ"/>
              </w:rPr>
              <w:t>FGG Elbe 2013 / IKSE 2014</w:t>
            </w:r>
          </w:p>
        </w:tc>
      </w:tr>
      <w:tr w:rsidR="00170B66" w:rsidRPr="00CC03D5" w14:paraId="27322011" w14:textId="77777777" w:rsidTr="00733615">
        <w:trPr>
          <w:cantSplit/>
        </w:trPr>
        <w:tc>
          <w:tcPr>
            <w:tcW w:w="0" w:type="auto"/>
            <w:tcBorders>
              <w:bottom w:val="single" w:sz="4" w:space="0" w:color="auto"/>
            </w:tcBorders>
            <w:vAlign w:val="center"/>
          </w:tcPr>
          <w:p w14:paraId="65CA55DF" w14:textId="77777777" w:rsidR="00170B66" w:rsidRPr="00CC03D5" w:rsidRDefault="00170B66" w:rsidP="000A162D">
            <w:pPr>
              <w:pStyle w:val="TableParagraph"/>
              <w:jc w:val="center"/>
              <w:rPr>
                <w:rFonts w:ascii="Arial" w:eastAsia="Arial" w:hAnsi="Arial" w:cs="Arial"/>
                <w:sz w:val="16"/>
                <w:szCs w:val="16"/>
                <w:lang w:val="cs-CZ"/>
              </w:rPr>
            </w:pPr>
            <w:r w:rsidRPr="00CC03D5">
              <w:rPr>
                <w:rFonts w:ascii="Arial" w:eastAsia="Arial" w:hAnsi="Arial" w:cs="Arial"/>
                <w:b/>
                <w:bCs/>
                <w:sz w:val="16"/>
                <w:szCs w:val="16"/>
                <w:lang w:val="cs-CZ"/>
              </w:rPr>
              <w:t>3</w:t>
            </w:r>
          </w:p>
        </w:tc>
        <w:tc>
          <w:tcPr>
            <w:tcW w:w="1168" w:type="dxa"/>
            <w:tcBorders>
              <w:bottom w:val="single" w:sz="4" w:space="0" w:color="auto"/>
            </w:tcBorders>
            <w:vAlign w:val="center"/>
          </w:tcPr>
          <w:p w14:paraId="1E4D2EEB" w14:textId="77777777" w:rsidR="00170B66" w:rsidRPr="00CC03D5" w:rsidRDefault="00170B66" w:rsidP="000A162D">
            <w:pPr>
              <w:pStyle w:val="TableParagraph"/>
              <w:rPr>
                <w:rFonts w:ascii="Arial" w:eastAsia="Arial" w:hAnsi="Arial" w:cs="Arial"/>
                <w:sz w:val="16"/>
                <w:szCs w:val="16"/>
                <w:lang w:val="cs-CZ"/>
              </w:rPr>
            </w:pPr>
            <w:proofErr w:type="spellStart"/>
            <w:r w:rsidRPr="00CC03D5">
              <w:rPr>
                <w:rFonts w:ascii="Arial" w:eastAsia="Arial" w:hAnsi="Arial" w:cs="Arial"/>
                <w:b/>
                <w:bCs/>
                <w:sz w:val="16"/>
                <w:szCs w:val="16"/>
                <w:lang w:val="cs-CZ"/>
              </w:rPr>
              <w:t>Pb</w:t>
            </w:r>
            <w:proofErr w:type="spellEnd"/>
          </w:p>
        </w:tc>
        <w:tc>
          <w:tcPr>
            <w:tcW w:w="828" w:type="dxa"/>
            <w:tcBorders>
              <w:bottom w:val="single" w:sz="4" w:space="0" w:color="auto"/>
            </w:tcBorders>
            <w:vAlign w:val="center"/>
          </w:tcPr>
          <w:p w14:paraId="120DBE39" w14:textId="77777777" w:rsidR="00170B66" w:rsidRPr="00CC03D5" w:rsidRDefault="00170B66" w:rsidP="000A162D">
            <w:pPr>
              <w:pStyle w:val="TableParagraph"/>
              <w:jc w:val="center"/>
              <w:rPr>
                <w:rFonts w:ascii="Arial" w:eastAsia="Arial" w:hAnsi="Arial" w:cs="Arial"/>
                <w:sz w:val="16"/>
                <w:szCs w:val="16"/>
                <w:lang w:val="cs-CZ"/>
              </w:rPr>
            </w:pPr>
            <w:r w:rsidRPr="00CC03D5">
              <w:rPr>
                <w:rFonts w:ascii="Arial" w:eastAsia="Arial" w:hAnsi="Arial" w:cs="Arial"/>
                <w:b/>
                <w:bCs/>
                <w:sz w:val="16"/>
                <w:szCs w:val="16"/>
                <w:lang w:val="cs-CZ"/>
              </w:rPr>
              <w:t>mg/</w:t>
            </w:r>
            <w:r w:rsidRPr="00CC03D5">
              <w:rPr>
                <w:rFonts w:ascii="Arial" w:eastAsia="Arial" w:hAnsi="Arial" w:cs="Arial"/>
                <w:b/>
                <w:bCs/>
                <w:spacing w:val="-3"/>
                <w:sz w:val="16"/>
                <w:szCs w:val="16"/>
                <w:lang w:val="cs-CZ"/>
              </w:rPr>
              <w:t>k</w:t>
            </w:r>
            <w:r w:rsidRPr="00CC03D5">
              <w:rPr>
                <w:rFonts w:ascii="Arial" w:eastAsia="Arial" w:hAnsi="Arial" w:cs="Arial"/>
                <w:b/>
                <w:bCs/>
                <w:sz w:val="16"/>
                <w:szCs w:val="16"/>
                <w:lang w:val="cs-CZ"/>
              </w:rPr>
              <w:t>g</w:t>
            </w:r>
          </w:p>
        </w:tc>
        <w:tc>
          <w:tcPr>
            <w:tcW w:w="1480" w:type="dxa"/>
            <w:gridSpan w:val="2"/>
            <w:tcBorders>
              <w:bottom w:val="single" w:sz="4" w:space="0" w:color="auto"/>
            </w:tcBorders>
            <w:shd w:val="clear" w:color="auto" w:fill="CAFBA5"/>
            <w:vAlign w:val="center"/>
          </w:tcPr>
          <w:p w14:paraId="344743CF" w14:textId="77777777" w:rsidR="00170B66" w:rsidRPr="00CC03D5" w:rsidRDefault="00170B66" w:rsidP="000A162D">
            <w:pPr>
              <w:pStyle w:val="TableParagraph"/>
              <w:jc w:val="center"/>
              <w:rPr>
                <w:rFonts w:ascii="Arial" w:eastAsia="Arial" w:hAnsi="Arial" w:cs="Arial"/>
                <w:spacing w:val="-1"/>
                <w:sz w:val="16"/>
                <w:szCs w:val="16"/>
                <w:lang w:val="cs-CZ"/>
              </w:rPr>
            </w:pPr>
            <w:r w:rsidRPr="00CC03D5">
              <w:rPr>
                <w:rFonts w:ascii="Arial" w:eastAsia="Arial" w:hAnsi="Arial" w:cs="Arial"/>
                <w:b/>
                <w:bCs/>
                <w:spacing w:val="-1"/>
                <w:sz w:val="16"/>
                <w:szCs w:val="16"/>
                <w:lang w:val="cs-CZ"/>
              </w:rPr>
              <w:t>25</w:t>
            </w:r>
          </w:p>
        </w:tc>
        <w:tc>
          <w:tcPr>
            <w:tcW w:w="1752" w:type="dxa"/>
            <w:tcBorders>
              <w:bottom w:val="single" w:sz="4" w:space="0" w:color="auto"/>
            </w:tcBorders>
            <w:shd w:val="clear" w:color="auto" w:fill="CAFBA5"/>
            <w:vAlign w:val="center"/>
          </w:tcPr>
          <w:p w14:paraId="2D013165" w14:textId="77777777" w:rsidR="00170B66" w:rsidRPr="00CC03D5" w:rsidRDefault="00170B66" w:rsidP="000A162D">
            <w:pPr>
              <w:pStyle w:val="TableParagraph"/>
              <w:jc w:val="center"/>
              <w:rPr>
                <w:rFonts w:ascii="Arial" w:eastAsia="Arial" w:hAnsi="Arial" w:cs="Arial"/>
                <w:sz w:val="16"/>
                <w:szCs w:val="16"/>
                <w:lang w:val="cs-CZ"/>
              </w:rPr>
            </w:pPr>
            <w:r w:rsidRPr="00CC03D5">
              <w:rPr>
                <w:rFonts w:ascii="Arial" w:eastAsia="Arial" w:hAnsi="Arial" w:cs="Arial"/>
                <w:spacing w:val="-1"/>
                <w:sz w:val="16"/>
                <w:szCs w:val="16"/>
                <w:lang w:val="cs-CZ"/>
              </w:rPr>
              <w:t>d</w:t>
            </w:r>
            <w:r w:rsidRPr="00CC03D5">
              <w:rPr>
                <w:rFonts w:ascii="Arial" w:eastAsia="Arial" w:hAnsi="Arial" w:cs="Arial"/>
                <w:sz w:val="16"/>
                <w:szCs w:val="16"/>
                <w:lang w:val="cs-CZ"/>
              </w:rPr>
              <w:t xml:space="preserve">e </w:t>
            </w:r>
            <w:proofErr w:type="spellStart"/>
            <w:proofErr w:type="gramStart"/>
            <w:r w:rsidRPr="00CC03D5">
              <w:rPr>
                <w:rFonts w:ascii="Arial" w:eastAsia="Arial" w:hAnsi="Arial" w:cs="Arial"/>
                <w:spacing w:val="-1"/>
                <w:sz w:val="16"/>
                <w:szCs w:val="16"/>
                <w:lang w:val="cs-CZ"/>
              </w:rPr>
              <w:t>De</w:t>
            </w:r>
            <w:r w:rsidRPr="00CC03D5">
              <w:rPr>
                <w:rFonts w:ascii="Arial" w:eastAsia="Arial" w:hAnsi="Arial" w:cs="Arial"/>
                <w:spacing w:val="1"/>
                <w:sz w:val="16"/>
                <w:szCs w:val="16"/>
                <w:lang w:val="cs-CZ"/>
              </w:rPr>
              <w:t>ck</w:t>
            </w:r>
            <w:r w:rsidRPr="00CC03D5">
              <w:rPr>
                <w:rFonts w:ascii="Arial" w:eastAsia="Arial" w:hAnsi="Arial" w:cs="Arial"/>
                <w:spacing w:val="-1"/>
                <w:sz w:val="16"/>
                <w:szCs w:val="16"/>
                <w:lang w:val="cs-CZ"/>
              </w:rPr>
              <w:t>er</w:t>
            </w:r>
            <w:r w:rsidRPr="00CC03D5">
              <w:rPr>
                <w:rFonts w:ascii="Arial" w:eastAsia="Arial" w:hAnsi="Arial" w:cs="Arial"/>
                <w:sz w:val="16"/>
                <w:szCs w:val="16"/>
                <w:lang w:val="cs-CZ"/>
              </w:rPr>
              <w:t>e</w:t>
            </w:r>
            <w:proofErr w:type="spellEnd"/>
            <w:proofErr w:type="gramEnd"/>
          </w:p>
        </w:tc>
        <w:tc>
          <w:tcPr>
            <w:tcW w:w="2694" w:type="dxa"/>
            <w:tcBorders>
              <w:bottom w:val="single" w:sz="4" w:space="0" w:color="auto"/>
            </w:tcBorders>
            <w:shd w:val="clear" w:color="auto" w:fill="CAFBA5"/>
            <w:vAlign w:val="center"/>
          </w:tcPr>
          <w:p w14:paraId="21D0B753" w14:textId="77777777" w:rsidR="00170B66" w:rsidRPr="00CC03D5" w:rsidRDefault="00170B66" w:rsidP="000A162D">
            <w:pPr>
              <w:pStyle w:val="TableParagraph"/>
              <w:jc w:val="center"/>
              <w:rPr>
                <w:rFonts w:ascii="Arial" w:eastAsia="Calibri" w:hAnsi="Arial" w:cs="Arial"/>
                <w:sz w:val="16"/>
                <w:szCs w:val="16"/>
                <w:lang w:val="cs-CZ"/>
              </w:rPr>
            </w:pPr>
            <w:r w:rsidRPr="00CC03D5">
              <w:rPr>
                <w:rFonts w:ascii="Arial" w:hAnsi="Arial" w:cs="Arial"/>
                <w:spacing w:val="-1"/>
                <w:sz w:val="16"/>
                <w:szCs w:val="16"/>
                <w:lang w:val="cs-CZ"/>
              </w:rPr>
              <w:t>FGG Elbe 2013 / IKSE 2014</w:t>
            </w:r>
          </w:p>
        </w:tc>
        <w:tc>
          <w:tcPr>
            <w:tcW w:w="1559" w:type="dxa"/>
            <w:gridSpan w:val="2"/>
            <w:tcBorders>
              <w:bottom w:val="single" w:sz="4" w:space="0" w:color="auto"/>
            </w:tcBorders>
            <w:shd w:val="clear" w:color="auto" w:fill="F7CAAC" w:themeFill="accent2" w:themeFillTint="66"/>
            <w:vAlign w:val="center"/>
          </w:tcPr>
          <w:p w14:paraId="5F15B781" w14:textId="77777777" w:rsidR="00170B66" w:rsidRPr="00CC03D5" w:rsidRDefault="00170B66" w:rsidP="000A162D">
            <w:pPr>
              <w:pStyle w:val="TableParagraph"/>
              <w:jc w:val="center"/>
              <w:rPr>
                <w:rFonts w:ascii="Arial" w:eastAsia="Arial" w:hAnsi="Arial" w:cs="Arial"/>
                <w:spacing w:val="-1"/>
                <w:sz w:val="16"/>
                <w:szCs w:val="16"/>
                <w:lang w:val="cs-CZ"/>
              </w:rPr>
            </w:pPr>
            <w:r w:rsidRPr="00CC03D5">
              <w:rPr>
                <w:rFonts w:ascii="Arial" w:eastAsia="Arial" w:hAnsi="Arial" w:cs="Arial"/>
                <w:b/>
                <w:bCs/>
                <w:spacing w:val="-1"/>
                <w:sz w:val="16"/>
                <w:szCs w:val="16"/>
                <w:lang w:val="cs-CZ"/>
              </w:rPr>
              <w:t>53</w:t>
            </w:r>
          </w:p>
        </w:tc>
        <w:tc>
          <w:tcPr>
            <w:tcW w:w="1559" w:type="dxa"/>
            <w:tcBorders>
              <w:bottom w:val="single" w:sz="4" w:space="0" w:color="auto"/>
            </w:tcBorders>
            <w:shd w:val="clear" w:color="auto" w:fill="F7CAAC" w:themeFill="accent2" w:themeFillTint="66"/>
            <w:vAlign w:val="center"/>
          </w:tcPr>
          <w:p w14:paraId="5F2DAD39" w14:textId="77777777" w:rsidR="00170B66" w:rsidRPr="00CC03D5" w:rsidRDefault="00170B66" w:rsidP="000A162D">
            <w:pPr>
              <w:pStyle w:val="TableParagraph"/>
              <w:jc w:val="center"/>
              <w:rPr>
                <w:rFonts w:ascii="Arial" w:eastAsia="Arial" w:hAnsi="Arial" w:cs="Arial"/>
                <w:sz w:val="16"/>
                <w:szCs w:val="16"/>
                <w:lang w:val="cs-CZ"/>
              </w:rPr>
            </w:pPr>
            <w:r w:rsidRPr="00CC03D5">
              <w:rPr>
                <w:rFonts w:ascii="Arial" w:eastAsia="Arial" w:hAnsi="Arial" w:cs="Arial"/>
                <w:spacing w:val="-1"/>
                <w:sz w:val="16"/>
                <w:szCs w:val="16"/>
                <w:lang w:val="cs-CZ"/>
              </w:rPr>
              <w:t>23</w:t>
            </w:r>
            <w:r w:rsidRPr="00CC03D5">
              <w:rPr>
                <w:rFonts w:ascii="Arial" w:eastAsia="Arial" w:hAnsi="Arial" w:cs="Arial"/>
                <w:sz w:val="16"/>
                <w:szCs w:val="16"/>
                <w:lang w:val="cs-CZ"/>
              </w:rPr>
              <w:t>/</w:t>
            </w:r>
            <w:r w:rsidRPr="00CC03D5">
              <w:rPr>
                <w:rFonts w:ascii="Arial" w:eastAsia="Arial" w:hAnsi="Arial" w:cs="Arial"/>
                <w:spacing w:val="-1"/>
                <w:sz w:val="16"/>
                <w:szCs w:val="16"/>
                <w:lang w:val="cs-CZ"/>
              </w:rPr>
              <w:t>201</w:t>
            </w:r>
            <w:r w:rsidRPr="00CC03D5">
              <w:rPr>
                <w:rFonts w:ascii="Arial" w:eastAsia="Arial" w:hAnsi="Arial" w:cs="Arial"/>
                <w:sz w:val="16"/>
                <w:szCs w:val="16"/>
                <w:lang w:val="cs-CZ"/>
              </w:rPr>
              <w:t>1 S</w:t>
            </w:r>
            <w:r w:rsidRPr="00CC03D5">
              <w:rPr>
                <w:rFonts w:ascii="Arial" w:eastAsia="Arial" w:hAnsi="Arial" w:cs="Arial"/>
                <w:spacing w:val="-1"/>
                <w:sz w:val="16"/>
                <w:szCs w:val="16"/>
                <w:lang w:val="cs-CZ"/>
              </w:rPr>
              <w:t>b.</w:t>
            </w:r>
          </w:p>
        </w:tc>
        <w:tc>
          <w:tcPr>
            <w:tcW w:w="2552" w:type="dxa"/>
            <w:tcBorders>
              <w:bottom w:val="single" w:sz="4" w:space="0" w:color="auto"/>
            </w:tcBorders>
            <w:shd w:val="clear" w:color="auto" w:fill="F7CAAC" w:themeFill="accent2" w:themeFillTint="66"/>
            <w:vAlign w:val="center"/>
          </w:tcPr>
          <w:p w14:paraId="765B49FB" w14:textId="77777777" w:rsidR="00170B66" w:rsidRPr="00CC03D5" w:rsidRDefault="00170B66" w:rsidP="000A162D">
            <w:pPr>
              <w:pStyle w:val="TableParagraph"/>
              <w:jc w:val="center"/>
              <w:rPr>
                <w:rFonts w:ascii="Arial" w:eastAsia="Calibri" w:hAnsi="Arial" w:cs="Arial"/>
                <w:sz w:val="16"/>
                <w:szCs w:val="16"/>
                <w:lang w:val="cs-CZ"/>
              </w:rPr>
            </w:pPr>
            <w:r w:rsidRPr="00CC03D5">
              <w:rPr>
                <w:rFonts w:ascii="Arial" w:hAnsi="Arial" w:cs="Arial"/>
                <w:spacing w:val="-1"/>
                <w:sz w:val="16"/>
                <w:szCs w:val="16"/>
                <w:lang w:val="cs-CZ"/>
              </w:rPr>
              <w:t>FGG Elbe 2013 / IKSE 2014</w:t>
            </w:r>
          </w:p>
        </w:tc>
      </w:tr>
      <w:tr w:rsidR="00170B66" w:rsidRPr="00CC03D5" w14:paraId="77679740" w14:textId="77777777" w:rsidTr="00733615">
        <w:trPr>
          <w:cantSplit/>
        </w:trPr>
        <w:tc>
          <w:tcPr>
            <w:tcW w:w="0" w:type="auto"/>
            <w:shd w:val="clear" w:color="auto" w:fill="D9D9D9" w:themeFill="background1" w:themeFillShade="D9"/>
            <w:vAlign w:val="center"/>
          </w:tcPr>
          <w:p w14:paraId="4904E5A5" w14:textId="77777777" w:rsidR="00170B66" w:rsidRPr="00CC03D5" w:rsidRDefault="00170B66" w:rsidP="000A162D">
            <w:pPr>
              <w:pStyle w:val="TableParagraph"/>
              <w:jc w:val="center"/>
              <w:rPr>
                <w:rFonts w:ascii="Arial" w:eastAsia="Arial" w:hAnsi="Arial" w:cs="Arial"/>
                <w:sz w:val="16"/>
                <w:szCs w:val="16"/>
                <w:lang w:val="cs-CZ"/>
              </w:rPr>
            </w:pPr>
            <w:r w:rsidRPr="00CC03D5">
              <w:rPr>
                <w:rFonts w:ascii="Arial" w:eastAsia="Arial" w:hAnsi="Arial" w:cs="Arial"/>
                <w:b/>
                <w:bCs/>
                <w:sz w:val="16"/>
                <w:szCs w:val="16"/>
                <w:lang w:val="cs-CZ"/>
              </w:rPr>
              <w:t>4</w:t>
            </w:r>
          </w:p>
        </w:tc>
        <w:tc>
          <w:tcPr>
            <w:tcW w:w="1168" w:type="dxa"/>
            <w:shd w:val="clear" w:color="auto" w:fill="D9D9D9" w:themeFill="background1" w:themeFillShade="D9"/>
            <w:vAlign w:val="center"/>
          </w:tcPr>
          <w:p w14:paraId="5BEAD0FE" w14:textId="77777777" w:rsidR="00170B66" w:rsidRPr="00CC03D5" w:rsidRDefault="00170B66" w:rsidP="000A162D">
            <w:pPr>
              <w:pStyle w:val="TableParagraph"/>
              <w:rPr>
                <w:rFonts w:ascii="Arial" w:eastAsia="Arial" w:hAnsi="Arial" w:cs="Arial"/>
                <w:sz w:val="16"/>
                <w:szCs w:val="16"/>
                <w:lang w:val="cs-CZ"/>
              </w:rPr>
            </w:pPr>
            <w:proofErr w:type="spellStart"/>
            <w:r w:rsidRPr="00CC03D5">
              <w:rPr>
                <w:rFonts w:ascii="Arial" w:eastAsia="Arial" w:hAnsi="Arial" w:cs="Arial"/>
                <w:b/>
                <w:bCs/>
                <w:sz w:val="16"/>
                <w:szCs w:val="16"/>
                <w:lang w:val="cs-CZ"/>
              </w:rPr>
              <w:t>Zn</w:t>
            </w:r>
            <w:proofErr w:type="spellEnd"/>
          </w:p>
        </w:tc>
        <w:tc>
          <w:tcPr>
            <w:tcW w:w="828" w:type="dxa"/>
            <w:shd w:val="clear" w:color="auto" w:fill="D9D9D9" w:themeFill="background1" w:themeFillShade="D9"/>
            <w:vAlign w:val="center"/>
          </w:tcPr>
          <w:p w14:paraId="5A60893F" w14:textId="77777777" w:rsidR="00170B66" w:rsidRPr="00CC03D5" w:rsidRDefault="00170B66" w:rsidP="000A162D">
            <w:pPr>
              <w:pStyle w:val="TableParagraph"/>
              <w:jc w:val="center"/>
              <w:rPr>
                <w:rFonts w:ascii="Arial" w:eastAsia="Arial" w:hAnsi="Arial" w:cs="Arial"/>
                <w:sz w:val="16"/>
                <w:szCs w:val="16"/>
                <w:lang w:val="cs-CZ"/>
              </w:rPr>
            </w:pPr>
            <w:r w:rsidRPr="00CC03D5">
              <w:rPr>
                <w:rFonts w:ascii="Arial" w:eastAsia="Arial" w:hAnsi="Arial" w:cs="Arial"/>
                <w:b/>
                <w:bCs/>
                <w:sz w:val="16"/>
                <w:szCs w:val="16"/>
                <w:lang w:val="cs-CZ"/>
              </w:rPr>
              <w:t>mg/</w:t>
            </w:r>
            <w:r w:rsidRPr="00CC03D5">
              <w:rPr>
                <w:rFonts w:ascii="Arial" w:eastAsia="Arial" w:hAnsi="Arial" w:cs="Arial"/>
                <w:b/>
                <w:bCs/>
                <w:spacing w:val="-3"/>
                <w:sz w:val="16"/>
                <w:szCs w:val="16"/>
                <w:lang w:val="cs-CZ"/>
              </w:rPr>
              <w:t>k</w:t>
            </w:r>
            <w:r w:rsidRPr="00CC03D5">
              <w:rPr>
                <w:rFonts w:ascii="Arial" w:eastAsia="Arial" w:hAnsi="Arial" w:cs="Arial"/>
                <w:b/>
                <w:bCs/>
                <w:sz w:val="16"/>
                <w:szCs w:val="16"/>
                <w:lang w:val="cs-CZ"/>
              </w:rPr>
              <w:t>g</w:t>
            </w:r>
          </w:p>
        </w:tc>
        <w:tc>
          <w:tcPr>
            <w:tcW w:w="1480" w:type="dxa"/>
            <w:gridSpan w:val="2"/>
            <w:tcBorders>
              <w:bottom w:val="single" w:sz="4" w:space="0" w:color="auto"/>
            </w:tcBorders>
            <w:shd w:val="clear" w:color="auto" w:fill="D9D9D9" w:themeFill="background1" w:themeFillShade="D9"/>
            <w:vAlign w:val="center"/>
          </w:tcPr>
          <w:p w14:paraId="447E2215" w14:textId="77777777" w:rsidR="00170B66" w:rsidRPr="00CC03D5" w:rsidRDefault="00170B66" w:rsidP="000A162D">
            <w:pPr>
              <w:pStyle w:val="TableParagraph"/>
              <w:jc w:val="center"/>
              <w:rPr>
                <w:rFonts w:ascii="Arial" w:eastAsia="Arial" w:hAnsi="Arial" w:cs="Arial"/>
                <w:sz w:val="16"/>
                <w:szCs w:val="16"/>
                <w:lang w:val="cs-CZ"/>
              </w:rPr>
            </w:pPr>
            <w:r w:rsidRPr="00CC03D5">
              <w:rPr>
                <w:rFonts w:ascii="Arial" w:eastAsia="Arial" w:hAnsi="Arial" w:cs="Arial"/>
                <w:b/>
                <w:bCs/>
                <w:spacing w:val="-1"/>
                <w:sz w:val="16"/>
                <w:szCs w:val="16"/>
                <w:lang w:val="cs-CZ"/>
              </w:rPr>
              <w:t>200</w:t>
            </w:r>
          </w:p>
        </w:tc>
        <w:tc>
          <w:tcPr>
            <w:tcW w:w="1752" w:type="dxa"/>
            <w:tcBorders>
              <w:bottom w:val="single" w:sz="4" w:space="0" w:color="auto"/>
            </w:tcBorders>
            <w:shd w:val="clear" w:color="auto" w:fill="D9D9D9" w:themeFill="background1" w:themeFillShade="D9"/>
            <w:vAlign w:val="center"/>
          </w:tcPr>
          <w:p w14:paraId="35EE648F" w14:textId="77777777" w:rsidR="00170B66" w:rsidRPr="00CC03D5" w:rsidRDefault="00170B66" w:rsidP="000A162D">
            <w:pPr>
              <w:pStyle w:val="TableParagraph"/>
              <w:jc w:val="center"/>
              <w:rPr>
                <w:rFonts w:ascii="Arial" w:eastAsia="Arial" w:hAnsi="Arial" w:cs="Arial"/>
                <w:sz w:val="16"/>
                <w:szCs w:val="16"/>
                <w:lang w:val="cs-CZ"/>
              </w:rPr>
            </w:pPr>
            <w:proofErr w:type="spellStart"/>
            <w:r w:rsidRPr="00CC03D5">
              <w:rPr>
                <w:rFonts w:ascii="Arial" w:eastAsia="Arial" w:hAnsi="Arial" w:cs="Arial"/>
                <w:sz w:val="16"/>
                <w:szCs w:val="16"/>
                <w:lang w:val="cs-CZ"/>
              </w:rPr>
              <w:t>BB</w:t>
            </w:r>
            <w:r w:rsidRPr="00CC03D5">
              <w:rPr>
                <w:rFonts w:ascii="Arial" w:eastAsia="Arial" w:hAnsi="Arial" w:cs="Arial"/>
                <w:spacing w:val="-1"/>
                <w:sz w:val="16"/>
                <w:szCs w:val="16"/>
                <w:lang w:val="cs-CZ"/>
              </w:rPr>
              <w:t>od</w:t>
            </w:r>
            <w:r w:rsidRPr="00CC03D5">
              <w:rPr>
                <w:rFonts w:ascii="Arial" w:eastAsia="Arial" w:hAnsi="Arial" w:cs="Arial"/>
                <w:spacing w:val="-2"/>
                <w:sz w:val="16"/>
                <w:szCs w:val="16"/>
                <w:lang w:val="cs-CZ"/>
              </w:rPr>
              <w:t>S</w:t>
            </w:r>
            <w:r w:rsidRPr="00CC03D5">
              <w:rPr>
                <w:rFonts w:ascii="Arial" w:eastAsia="Arial" w:hAnsi="Arial" w:cs="Arial"/>
                <w:spacing w:val="1"/>
                <w:sz w:val="16"/>
                <w:szCs w:val="16"/>
                <w:lang w:val="cs-CZ"/>
              </w:rPr>
              <w:t>c</w:t>
            </w:r>
            <w:r w:rsidRPr="00CC03D5">
              <w:rPr>
                <w:rFonts w:ascii="Arial" w:eastAsia="Arial" w:hAnsi="Arial" w:cs="Arial"/>
                <w:spacing w:val="-3"/>
                <w:sz w:val="16"/>
                <w:szCs w:val="16"/>
                <w:lang w:val="cs-CZ"/>
              </w:rPr>
              <w:t>h</w:t>
            </w:r>
            <w:r w:rsidRPr="00CC03D5">
              <w:rPr>
                <w:rFonts w:ascii="Arial" w:eastAsia="Arial" w:hAnsi="Arial" w:cs="Arial"/>
                <w:sz w:val="16"/>
                <w:szCs w:val="16"/>
                <w:lang w:val="cs-CZ"/>
              </w:rPr>
              <w:t>V</w:t>
            </w:r>
            <w:proofErr w:type="spellEnd"/>
          </w:p>
        </w:tc>
        <w:tc>
          <w:tcPr>
            <w:tcW w:w="2694" w:type="dxa"/>
            <w:tcBorders>
              <w:bottom w:val="single" w:sz="4" w:space="0" w:color="auto"/>
            </w:tcBorders>
            <w:shd w:val="clear" w:color="auto" w:fill="D9D9D9" w:themeFill="background1" w:themeFillShade="D9"/>
            <w:vAlign w:val="center"/>
          </w:tcPr>
          <w:p w14:paraId="15948F21" w14:textId="77777777" w:rsidR="00170B66" w:rsidRPr="00CC03D5" w:rsidRDefault="00170B66" w:rsidP="000A162D">
            <w:pPr>
              <w:pStyle w:val="TableParagraph"/>
              <w:jc w:val="center"/>
              <w:rPr>
                <w:rFonts w:ascii="Arial" w:eastAsia="Calibri" w:hAnsi="Arial" w:cs="Arial"/>
                <w:sz w:val="16"/>
                <w:szCs w:val="16"/>
                <w:lang w:val="cs-CZ"/>
              </w:rPr>
            </w:pPr>
            <w:r w:rsidRPr="00CC03D5">
              <w:rPr>
                <w:rFonts w:ascii="Arial" w:hAnsi="Arial" w:cs="Arial"/>
                <w:spacing w:val="-1"/>
                <w:sz w:val="16"/>
                <w:szCs w:val="16"/>
                <w:lang w:val="cs-CZ"/>
              </w:rPr>
              <w:t>FGG Elbe 2013 / IKSE 2014</w:t>
            </w:r>
          </w:p>
        </w:tc>
        <w:tc>
          <w:tcPr>
            <w:tcW w:w="1559" w:type="dxa"/>
            <w:gridSpan w:val="2"/>
            <w:tcBorders>
              <w:bottom w:val="single" w:sz="4" w:space="0" w:color="auto"/>
            </w:tcBorders>
            <w:shd w:val="clear" w:color="auto" w:fill="D9D9D9" w:themeFill="background1" w:themeFillShade="D9"/>
            <w:vAlign w:val="center"/>
          </w:tcPr>
          <w:p w14:paraId="7F439BE8" w14:textId="77777777" w:rsidR="00170B66" w:rsidRPr="00CC03D5" w:rsidRDefault="00170B66" w:rsidP="000A162D">
            <w:pPr>
              <w:pStyle w:val="TableParagraph"/>
              <w:jc w:val="center"/>
              <w:rPr>
                <w:rFonts w:ascii="Arial" w:eastAsia="Arial" w:hAnsi="Arial" w:cs="Arial"/>
                <w:spacing w:val="-1"/>
                <w:sz w:val="16"/>
                <w:szCs w:val="16"/>
                <w:lang w:val="cs-CZ"/>
              </w:rPr>
            </w:pPr>
            <w:r w:rsidRPr="00CC03D5">
              <w:rPr>
                <w:rFonts w:ascii="Arial" w:eastAsia="Arial" w:hAnsi="Arial" w:cs="Arial"/>
                <w:b/>
                <w:bCs/>
                <w:spacing w:val="-1"/>
                <w:sz w:val="16"/>
                <w:szCs w:val="16"/>
                <w:lang w:val="cs-CZ"/>
              </w:rPr>
              <w:t>800</w:t>
            </w:r>
          </w:p>
        </w:tc>
        <w:tc>
          <w:tcPr>
            <w:tcW w:w="1559" w:type="dxa"/>
            <w:tcBorders>
              <w:bottom w:val="single" w:sz="4" w:space="0" w:color="auto"/>
            </w:tcBorders>
            <w:shd w:val="clear" w:color="auto" w:fill="D9D9D9" w:themeFill="background1" w:themeFillShade="D9"/>
            <w:vAlign w:val="center"/>
          </w:tcPr>
          <w:p w14:paraId="5FC118F4" w14:textId="77777777" w:rsidR="00170B66" w:rsidRPr="00CC03D5" w:rsidRDefault="00170B66" w:rsidP="000A162D">
            <w:pPr>
              <w:pStyle w:val="TableParagraph"/>
              <w:jc w:val="center"/>
              <w:rPr>
                <w:rFonts w:ascii="Arial" w:eastAsia="Arial" w:hAnsi="Arial" w:cs="Arial"/>
                <w:sz w:val="16"/>
                <w:szCs w:val="16"/>
                <w:lang w:val="cs-CZ"/>
              </w:rPr>
            </w:pPr>
            <w:proofErr w:type="spellStart"/>
            <w:r w:rsidRPr="00CC03D5">
              <w:rPr>
                <w:rFonts w:ascii="Arial" w:eastAsia="Arial" w:hAnsi="Arial" w:cs="Arial"/>
                <w:spacing w:val="-1"/>
                <w:sz w:val="16"/>
                <w:szCs w:val="16"/>
                <w:lang w:val="cs-CZ"/>
              </w:rPr>
              <w:t>OGe</w:t>
            </w:r>
            <w:r w:rsidRPr="00CC03D5">
              <w:rPr>
                <w:rFonts w:ascii="Arial" w:eastAsia="Arial" w:hAnsi="Arial" w:cs="Arial"/>
                <w:spacing w:val="-4"/>
                <w:sz w:val="16"/>
                <w:szCs w:val="16"/>
                <w:lang w:val="cs-CZ"/>
              </w:rPr>
              <w:t>w</w:t>
            </w:r>
            <w:r w:rsidRPr="00CC03D5">
              <w:rPr>
                <w:rFonts w:ascii="Arial" w:eastAsia="Arial" w:hAnsi="Arial" w:cs="Arial"/>
                <w:sz w:val="16"/>
                <w:szCs w:val="16"/>
                <w:lang w:val="cs-CZ"/>
              </w:rPr>
              <w:t>V</w:t>
            </w:r>
            <w:proofErr w:type="spellEnd"/>
          </w:p>
        </w:tc>
        <w:tc>
          <w:tcPr>
            <w:tcW w:w="2552" w:type="dxa"/>
            <w:tcBorders>
              <w:bottom w:val="single" w:sz="4" w:space="0" w:color="auto"/>
            </w:tcBorders>
            <w:shd w:val="clear" w:color="auto" w:fill="D9D9D9" w:themeFill="background1" w:themeFillShade="D9"/>
            <w:vAlign w:val="center"/>
          </w:tcPr>
          <w:p w14:paraId="0DE72448" w14:textId="77777777" w:rsidR="00170B66" w:rsidRPr="00CC03D5" w:rsidRDefault="00170B66" w:rsidP="000A162D">
            <w:pPr>
              <w:pStyle w:val="TableParagraph"/>
              <w:jc w:val="center"/>
              <w:rPr>
                <w:rFonts w:ascii="Arial" w:eastAsia="Calibri" w:hAnsi="Arial" w:cs="Arial"/>
                <w:sz w:val="16"/>
                <w:szCs w:val="16"/>
                <w:lang w:val="cs-CZ"/>
              </w:rPr>
            </w:pPr>
            <w:r w:rsidRPr="00CC03D5">
              <w:rPr>
                <w:rFonts w:ascii="Arial" w:hAnsi="Arial" w:cs="Arial"/>
                <w:spacing w:val="-1"/>
                <w:sz w:val="16"/>
                <w:szCs w:val="16"/>
                <w:lang w:val="cs-CZ"/>
              </w:rPr>
              <w:t>FGG Elbe 2013 / IKSE 2014</w:t>
            </w:r>
          </w:p>
        </w:tc>
      </w:tr>
      <w:tr w:rsidR="00170B66" w:rsidRPr="00CC03D5" w14:paraId="7FF2C589" w14:textId="77777777" w:rsidTr="00733615">
        <w:trPr>
          <w:cantSplit/>
        </w:trPr>
        <w:tc>
          <w:tcPr>
            <w:tcW w:w="0" w:type="auto"/>
            <w:tcBorders>
              <w:bottom w:val="single" w:sz="4" w:space="0" w:color="auto"/>
            </w:tcBorders>
            <w:vAlign w:val="center"/>
          </w:tcPr>
          <w:p w14:paraId="5C225BD3" w14:textId="77777777" w:rsidR="00170B66" w:rsidRPr="00CC03D5" w:rsidRDefault="00170B66" w:rsidP="000A162D">
            <w:pPr>
              <w:pStyle w:val="TableParagraph"/>
              <w:jc w:val="center"/>
              <w:rPr>
                <w:rFonts w:ascii="Arial" w:eastAsia="Arial" w:hAnsi="Arial" w:cs="Arial"/>
                <w:sz w:val="16"/>
                <w:szCs w:val="16"/>
                <w:lang w:val="cs-CZ"/>
              </w:rPr>
            </w:pPr>
            <w:r w:rsidRPr="00CC03D5">
              <w:rPr>
                <w:rFonts w:ascii="Arial" w:eastAsia="Arial" w:hAnsi="Arial" w:cs="Arial"/>
                <w:b/>
                <w:bCs/>
                <w:sz w:val="16"/>
                <w:szCs w:val="16"/>
                <w:lang w:val="cs-CZ"/>
              </w:rPr>
              <w:t>5</w:t>
            </w:r>
          </w:p>
        </w:tc>
        <w:tc>
          <w:tcPr>
            <w:tcW w:w="1168" w:type="dxa"/>
            <w:tcBorders>
              <w:bottom w:val="single" w:sz="4" w:space="0" w:color="auto"/>
            </w:tcBorders>
            <w:vAlign w:val="center"/>
          </w:tcPr>
          <w:p w14:paraId="2D2984F2" w14:textId="77777777" w:rsidR="00170B66" w:rsidRPr="00CC03D5" w:rsidRDefault="00170B66" w:rsidP="000A162D">
            <w:pPr>
              <w:pStyle w:val="TableParagraph"/>
              <w:rPr>
                <w:rFonts w:ascii="Arial" w:eastAsia="Arial" w:hAnsi="Arial" w:cs="Arial"/>
                <w:sz w:val="16"/>
                <w:szCs w:val="16"/>
                <w:lang w:val="cs-CZ"/>
              </w:rPr>
            </w:pPr>
            <w:proofErr w:type="spellStart"/>
            <w:r w:rsidRPr="00CC03D5">
              <w:rPr>
                <w:rFonts w:ascii="Arial" w:eastAsia="Arial" w:hAnsi="Arial" w:cs="Arial"/>
                <w:b/>
                <w:bCs/>
                <w:spacing w:val="-1"/>
                <w:sz w:val="16"/>
                <w:szCs w:val="16"/>
                <w:lang w:val="cs-CZ"/>
              </w:rPr>
              <w:t>Cu</w:t>
            </w:r>
            <w:proofErr w:type="spellEnd"/>
          </w:p>
        </w:tc>
        <w:tc>
          <w:tcPr>
            <w:tcW w:w="828" w:type="dxa"/>
            <w:tcBorders>
              <w:bottom w:val="single" w:sz="4" w:space="0" w:color="auto"/>
            </w:tcBorders>
            <w:vAlign w:val="center"/>
          </w:tcPr>
          <w:p w14:paraId="2CDE02D8" w14:textId="77777777" w:rsidR="00170B66" w:rsidRPr="00CC03D5" w:rsidRDefault="00170B66" w:rsidP="000A162D">
            <w:pPr>
              <w:pStyle w:val="TableParagraph"/>
              <w:jc w:val="center"/>
              <w:rPr>
                <w:rFonts w:ascii="Arial" w:eastAsia="Arial" w:hAnsi="Arial" w:cs="Arial"/>
                <w:sz w:val="16"/>
                <w:szCs w:val="16"/>
                <w:lang w:val="cs-CZ"/>
              </w:rPr>
            </w:pPr>
            <w:r w:rsidRPr="00CC03D5">
              <w:rPr>
                <w:rFonts w:ascii="Arial" w:eastAsia="Arial" w:hAnsi="Arial" w:cs="Arial"/>
                <w:b/>
                <w:bCs/>
                <w:sz w:val="16"/>
                <w:szCs w:val="16"/>
                <w:lang w:val="cs-CZ"/>
              </w:rPr>
              <w:t>mg/</w:t>
            </w:r>
            <w:r w:rsidRPr="00CC03D5">
              <w:rPr>
                <w:rFonts w:ascii="Arial" w:eastAsia="Arial" w:hAnsi="Arial" w:cs="Arial"/>
                <w:b/>
                <w:bCs/>
                <w:spacing w:val="-3"/>
                <w:sz w:val="16"/>
                <w:szCs w:val="16"/>
                <w:lang w:val="cs-CZ"/>
              </w:rPr>
              <w:t>k</w:t>
            </w:r>
            <w:r w:rsidRPr="00CC03D5">
              <w:rPr>
                <w:rFonts w:ascii="Arial" w:eastAsia="Arial" w:hAnsi="Arial" w:cs="Arial"/>
                <w:b/>
                <w:bCs/>
                <w:sz w:val="16"/>
                <w:szCs w:val="16"/>
                <w:lang w:val="cs-CZ"/>
              </w:rPr>
              <w:t>g</w:t>
            </w:r>
          </w:p>
        </w:tc>
        <w:tc>
          <w:tcPr>
            <w:tcW w:w="1480" w:type="dxa"/>
            <w:gridSpan w:val="2"/>
            <w:tcBorders>
              <w:bottom w:val="single" w:sz="4" w:space="0" w:color="auto"/>
            </w:tcBorders>
            <w:shd w:val="clear" w:color="auto" w:fill="CAFBA5"/>
            <w:vAlign w:val="center"/>
          </w:tcPr>
          <w:p w14:paraId="5C1FE485" w14:textId="77777777" w:rsidR="00170B66" w:rsidRPr="00CC03D5" w:rsidRDefault="00170B66" w:rsidP="000A162D">
            <w:pPr>
              <w:pStyle w:val="TableParagraph"/>
              <w:jc w:val="center"/>
              <w:rPr>
                <w:rFonts w:ascii="Arial" w:eastAsia="Arial" w:hAnsi="Arial" w:cs="Arial"/>
                <w:spacing w:val="-1"/>
                <w:sz w:val="16"/>
                <w:szCs w:val="16"/>
                <w:lang w:val="cs-CZ"/>
              </w:rPr>
            </w:pPr>
            <w:r w:rsidRPr="00CC03D5">
              <w:rPr>
                <w:rFonts w:ascii="Arial" w:eastAsia="Arial" w:hAnsi="Arial" w:cs="Arial"/>
                <w:b/>
                <w:bCs/>
                <w:spacing w:val="-1"/>
                <w:sz w:val="16"/>
                <w:szCs w:val="16"/>
                <w:lang w:val="cs-CZ"/>
              </w:rPr>
              <w:t>14</w:t>
            </w:r>
          </w:p>
        </w:tc>
        <w:tc>
          <w:tcPr>
            <w:tcW w:w="1752" w:type="dxa"/>
            <w:tcBorders>
              <w:bottom w:val="single" w:sz="4" w:space="0" w:color="auto"/>
            </w:tcBorders>
            <w:shd w:val="clear" w:color="auto" w:fill="CAFBA5"/>
            <w:vAlign w:val="center"/>
          </w:tcPr>
          <w:p w14:paraId="4E8EAA2B" w14:textId="77777777" w:rsidR="00170B66" w:rsidRPr="00CC03D5" w:rsidRDefault="00170B66" w:rsidP="000A162D">
            <w:pPr>
              <w:pStyle w:val="TableParagraph"/>
              <w:jc w:val="center"/>
              <w:rPr>
                <w:rFonts w:ascii="Arial" w:eastAsia="Arial" w:hAnsi="Arial" w:cs="Arial"/>
                <w:sz w:val="16"/>
                <w:szCs w:val="16"/>
                <w:lang w:val="cs-CZ"/>
              </w:rPr>
            </w:pPr>
            <w:r w:rsidRPr="00CC03D5">
              <w:rPr>
                <w:rFonts w:ascii="Arial" w:eastAsia="Arial" w:hAnsi="Arial" w:cs="Arial"/>
                <w:spacing w:val="-1"/>
                <w:sz w:val="16"/>
                <w:szCs w:val="16"/>
                <w:lang w:val="cs-CZ"/>
              </w:rPr>
              <w:t>d</w:t>
            </w:r>
            <w:r w:rsidRPr="00CC03D5">
              <w:rPr>
                <w:rFonts w:ascii="Arial" w:eastAsia="Arial" w:hAnsi="Arial" w:cs="Arial"/>
                <w:sz w:val="16"/>
                <w:szCs w:val="16"/>
                <w:lang w:val="cs-CZ"/>
              </w:rPr>
              <w:t xml:space="preserve">e </w:t>
            </w:r>
            <w:proofErr w:type="spellStart"/>
            <w:proofErr w:type="gramStart"/>
            <w:r w:rsidRPr="00CC03D5">
              <w:rPr>
                <w:rFonts w:ascii="Arial" w:eastAsia="Arial" w:hAnsi="Arial" w:cs="Arial"/>
                <w:spacing w:val="-1"/>
                <w:sz w:val="16"/>
                <w:szCs w:val="16"/>
                <w:lang w:val="cs-CZ"/>
              </w:rPr>
              <w:t>De</w:t>
            </w:r>
            <w:r w:rsidRPr="00CC03D5">
              <w:rPr>
                <w:rFonts w:ascii="Arial" w:eastAsia="Arial" w:hAnsi="Arial" w:cs="Arial"/>
                <w:spacing w:val="1"/>
                <w:sz w:val="16"/>
                <w:szCs w:val="16"/>
                <w:lang w:val="cs-CZ"/>
              </w:rPr>
              <w:t>ck</w:t>
            </w:r>
            <w:r w:rsidRPr="00CC03D5">
              <w:rPr>
                <w:rFonts w:ascii="Arial" w:eastAsia="Arial" w:hAnsi="Arial" w:cs="Arial"/>
                <w:spacing w:val="-1"/>
                <w:sz w:val="16"/>
                <w:szCs w:val="16"/>
                <w:lang w:val="cs-CZ"/>
              </w:rPr>
              <w:t>er</w:t>
            </w:r>
            <w:r w:rsidRPr="00CC03D5">
              <w:rPr>
                <w:rFonts w:ascii="Arial" w:eastAsia="Arial" w:hAnsi="Arial" w:cs="Arial"/>
                <w:sz w:val="16"/>
                <w:szCs w:val="16"/>
                <w:lang w:val="cs-CZ"/>
              </w:rPr>
              <w:t>e</w:t>
            </w:r>
            <w:proofErr w:type="spellEnd"/>
            <w:proofErr w:type="gramEnd"/>
          </w:p>
        </w:tc>
        <w:tc>
          <w:tcPr>
            <w:tcW w:w="2694" w:type="dxa"/>
            <w:tcBorders>
              <w:bottom w:val="single" w:sz="4" w:space="0" w:color="auto"/>
            </w:tcBorders>
            <w:shd w:val="clear" w:color="auto" w:fill="CAFBA5"/>
            <w:vAlign w:val="center"/>
          </w:tcPr>
          <w:p w14:paraId="52230405" w14:textId="77777777" w:rsidR="00170B66" w:rsidRPr="00CC03D5" w:rsidRDefault="00170B66" w:rsidP="000A162D">
            <w:pPr>
              <w:pStyle w:val="TableParagraph"/>
              <w:jc w:val="center"/>
              <w:rPr>
                <w:rFonts w:ascii="Arial" w:eastAsia="Calibri" w:hAnsi="Arial" w:cs="Arial"/>
                <w:sz w:val="16"/>
                <w:szCs w:val="16"/>
                <w:lang w:val="cs-CZ"/>
              </w:rPr>
            </w:pPr>
            <w:r w:rsidRPr="00CC03D5">
              <w:rPr>
                <w:rFonts w:ascii="Arial" w:hAnsi="Arial" w:cs="Arial"/>
                <w:spacing w:val="-1"/>
                <w:sz w:val="16"/>
                <w:szCs w:val="16"/>
                <w:lang w:val="cs-CZ"/>
              </w:rPr>
              <w:t>FGG Elbe 2013 / IKSE 2014</w:t>
            </w:r>
          </w:p>
        </w:tc>
        <w:tc>
          <w:tcPr>
            <w:tcW w:w="1559" w:type="dxa"/>
            <w:gridSpan w:val="2"/>
            <w:tcBorders>
              <w:bottom w:val="single" w:sz="4" w:space="0" w:color="auto"/>
            </w:tcBorders>
            <w:shd w:val="clear" w:color="auto" w:fill="F7CAAC" w:themeFill="accent2" w:themeFillTint="66"/>
            <w:vAlign w:val="center"/>
          </w:tcPr>
          <w:p w14:paraId="245E09D6" w14:textId="77777777" w:rsidR="00170B66" w:rsidRPr="00CC03D5" w:rsidRDefault="00170B66" w:rsidP="000A162D">
            <w:pPr>
              <w:pStyle w:val="TableParagraph"/>
              <w:jc w:val="center"/>
              <w:rPr>
                <w:rFonts w:ascii="Arial" w:eastAsia="Arial" w:hAnsi="Arial" w:cs="Arial"/>
                <w:spacing w:val="-1"/>
                <w:sz w:val="16"/>
                <w:szCs w:val="16"/>
                <w:lang w:val="cs-CZ"/>
              </w:rPr>
            </w:pPr>
            <w:r w:rsidRPr="00CC03D5">
              <w:rPr>
                <w:rFonts w:ascii="Arial" w:eastAsia="Arial" w:hAnsi="Arial" w:cs="Arial"/>
                <w:b/>
                <w:bCs/>
                <w:spacing w:val="-1"/>
                <w:sz w:val="16"/>
                <w:szCs w:val="16"/>
                <w:lang w:val="cs-CZ"/>
              </w:rPr>
              <w:t>160</w:t>
            </w:r>
          </w:p>
        </w:tc>
        <w:tc>
          <w:tcPr>
            <w:tcW w:w="1559" w:type="dxa"/>
            <w:tcBorders>
              <w:bottom w:val="single" w:sz="4" w:space="0" w:color="auto"/>
            </w:tcBorders>
            <w:shd w:val="clear" w:color="auto" w:fill="F7CAAC" w:themeFill="accent2" w:themeFillTint="66"/>
            <w:vAlign w:val="center"/>
          </w:tcPr>
          <w:p w14:paraId="46AC1E4C" w14:textId="77777777" w:rsidR="00170B66" w:rsidRPr="00CC03D5" w:rsidRDefault="00170B66" w:rsidP="000A162D">
            <w:pPr>
              <w:pStyle w:val="TableParagraph"/>
              <w:jc w:val="center"/>
              <w:rPr>
                <w:rFonts w:ascii="Arial" w:eastAsia="Arial" w:hAnsi="Arial" w:cs="Arial"/>
                <w:sz w:val="16"/>
                <w:szCs w:val="16"/>
                <w:lang w:val="cs-CZ"/>
              </w:rPr>
            </w:pPr>
            <w:proofErr w:type="spellStart"/>
            <w:r w:rsidRPr="00CC03D5">
              <w:rPr>
                <w:rFonts w:ascii="Arial" w:eastAsia="Arial" w:hAnsi="Arial" w:cs="Arial"/>
                <w:spacing w:val="-1"/>
                <w:sz w:val="16"/>
                <w:szCs w:val="16"/>
                <w:lang w:val="cs-CZ"/>
              </w:rPr>
              <w:t>OGe</w:t>
            </w:r>
            <w:r w:rsidRPr="00CC03D5">
              <w:rPr>
                <w:rFonts w:ascii="Arial" w:eastAsia="Arial" w:hAnsi="Arial" w:cs="Arial"/>
                <w:spacing w:val="-4"/>
                <w:sz w:val="16"/>
                <w:szCs w:val="16"/>
                <w:lang w:val="cs-CZ"/>
              </w:rPr>
              <w:t>w</w:t>
            </w:r>
            <w:r w:rsidRPr="00CC03D5">
              <w:rPr>
                <w:rFonts w:ascii="Arial" w:eastAsia="Arial" w:hAnsi="Arial" w:cs="Arial"/>
                <w:sz w:val="16"/>
                <w:szCs w:val="16"/>
                <w:lang w:val="cs-CZ"/>
              </w:rPr>
              <w:t>V</w:t>
            </w:r>
            <w:proofErr w:type="spellEnd"/>
          </w:p>
        </w:tc>
        <w:tc>
          <w:tcPr>
            <w:tcW w:w="2552" w:type="dxa"/>
            <w:tcBorders>
              <w:bottom w:val="single" w:sz="4" w:space="0" w:color="auto"/>
            </w:tcBorders>
            <w:shd w:val="clear" w:color="auto" w:fill="F7CAAC" w:themeFill="accent2" w:themeFillTint="66"/>
            <w:vAlign w:val="center"/>
          </w:tcPr>
          <w:p w14:paraId="5413355B" w14:textId="77777777" w:rsidR="00170B66" w:rsidRPr="00CC03D5" w:rsidRDefault="00170B66" w:rsidP="000A162D">
            <w:pPr>
              <w:pStyle w:val="TableParagraph"/>
              <w:jc w:val="center"/>
              <w:rPr>
                <w:rFonts w:ascii="Arial" w:eastAsia="Calibri" w:hAnsi="Arial" w:cs="Arial"/>
                <w:sz w:val="16"/>
                <w:szCs w:val="16"/>
                <w:lang w:val="cs-CZ"/>
              </w:rPr>
            </w:pPr>
            <w:r w:rsidRPr="00CC03D5">
              <w:rPr>
                <w:rFonts w:ascii="Arial" w:hAnsi="Arial" w:cs="Arial"/>
                <w:spacing w:val="-1"/>
                <w:sz w:val="16"/>
                <w:szCs w:val="16"/>
                <w:lang w:val="cs-CZ"/>
              </w:rPr>
              <w:t>FGG Elbe 2013 / IKSE 2014</w:t>
            </w:r>
          </w:p>
        </w:tc>
      </w:tr>
      <w:tr w:rsidR="00170B66" w:rsidRPr="00CC03D5" w14:paraId="724447D8" w14:textId="77777777" w:rsidTr="00733615">
        <w:trPr>
          <w:cantSplit/>
        </w:trPr>
        <w:tc>
          <w:tcPr>
            <w:tcW w:w="0" w:type="auto"/>
            <w:shd w:val="clear" w:color="auto" w:fill="D9D9D9" w:themeFill="background1" w:themeFillShade="D9"/>
            <w:vAlign w:val="center"/>
          </w:tcPr>
          <w:p w14:paraId="1F91250A" w14:textId="77777777" w:rsidR="00170B66" w:rsidRPr="00CC03D5" w:rsidRDefault="00170B66" w:rsidP="000A162D">
            <w:pPr>
              <w:pStyle w:val="TableParagraph"/>
              <w:jc w:val="center"/>
              <w:rPr>
                <w:rFonts w:ascii="Arial" w:eastAsia="Arial" w:hAnsi="Arial" w:cs="Arial"/>
                <w:sz w:val="16"/>
                <w:szCs w:val="16"/>
                <w:lang w:val="cs-CZ"/>
              </w:rPr>
            </w:pPr>
            <w:r w:rsidRPr="00CC03D5">
              <w:rPr>
                <w:rFonts w:ascii="Arial" w:eastAsia="Arial" w:hAnsi="Arial" w:cs="Arial"/>
                <w:b/>
                <w:bCs/>
                <w:sz w:val="16"/>
                <w:szCs w:val="16"/>
                <w:lang w:val="cs-CZ"/>
              </w:rPr>
              <w:t>6</w:t>
            </w:r>
          </w:p>
        </w:tc>
        <w:tc>
          <w:tcPr>
            <w:tcW w:w="1168" w:type="dxa"/>
            <w:shd w:val="clear" w:color="auto" w:fill="D9D9D9" w:themeFill="background1" w:themeFillShade="D9"/>
            <w:vAlign w:val="center"/>
          </w:tcPr>
          <w:p w14:paraId="1E46A54F" w14:textId="77777777" w:rsidR="00170B66" w:rsidRPr="00CC03D5" w:rsidRDefault="00170B66" w:rsidP="000A162D">
            <w:pPr>
              <w:pStyle w:val="TableParagraph"/>
              <w:rPr>
                <w:rFonts w:ascii="Arial" w:eastAsia="Arial" w:hAnsi="Arial" w:cs="Arial"/>
                <w:sz w:val="16"/>
                <w:szCs w:val="16"/>
                <w:lang w:val="cs-CZ"/>
              </w:rPr>
            </w:pPr>
            <w:r w:rsidRPr="00CC03D5">
              <w:rPr>
                <w:rFonts w:ascii="Arial" w:eastAsia="Arial" w:hAnsi="Arial" w:cs="Arial"/>
                <w:b/>
                <w:bCs/>
                <w:spacing w:val="-1"/>
                <w:sz w:val="16"/>
                <w:szCs w:val="16"/>
                <w:lang w:val="cs-CZ"/>
              </w:rPr>
              <w:t>Ni</w:t>
            </w:r>
          </w:p>
        </w:tc>
        <w:tc>
          <w:tcPr>
            <w:tcW w:w="828" w:type="dxa"/>
            <w:shd w:val="clear" w:color="auto" w:fill="D9D9D9" w:themeFill="background1" w:themeFillShade="D9"/>
            <w:vAlign w:val="center"/>
          </w:tcPr>
          <w:p w14:paraId="174095C7" w14:textId="77777777" w:rsidR="00170B66" w:rsidRPr="00CC03D5" w:rsidRDefault="00170B66" w:rsidP="000A162D">
            <w:pPr>
              <w:pStyle w:val="TableParagraph"/>
              <w:jc w:val="center"/>
              <w:rPr>
                <w:rFonts w:ascii="Arial" w:eastAsia="Arial" w:hAnsi="Arial" w:cs="Arial"/>
                <w:sz w:val="16"/>
                <w:szCs w:val="16"/>
                <w:lang w:val="cs-CZ"/>
              </w:rPr>
            </w:pPr>
            <w:r w:rsidRPr="00CC03D5">
              <w:rPr>
                <w:rFonts w:ascii="Arial" w:eastAsia="Arial" w:hAnsi="Arial" w:cs="Arial"/>
                <w:b/>
                <w:bCs/>
                <w:sz w:val="16"/>
                <w:szCs w:val="16"/>
                <w:lang w:val="cs-CZ"/>
              </w:rPr>
              <w:t>mg/</w:t>
            </w:r>
            <w:r w:rsidRPr="00CC03D5">
              <w:rPr>
                <w:rFonts w:ascii="Arial" w:eastAsia="Arial" w:hAnsi="Arial" w:cs="Arial"/>
                <w:b/>
                <w:bCs/>
                <w:spacing w:val="-3"/>
                <w:sz w:val="16"/>
                <w:szCs w:val="16"/>
                <w:lang w:val="cs-CZ"/>
              </w:rPr>
              <w:t>k</w:t>
            </w:r>
            <w:r w:rsidRPr="00CC03D5">
              <w:rPr>
                <w:rFonts w:ascii="Arial" w:eastAsia="Arial" w:hAnsi="Arial" w:cs="Arial"/>
                <w:b/>
                <w:bCs/>
                <w:sz w:val="16"/>
                <w:szCs w:val="16"/>
                <w:lang w:val="cs-CZ"/>
              </w:rPr>
              <w:t>g</w:t>
            </w:r>
          </w:p>
        </w:tc>
        <w:tc>
          <w:tcPr>
            <w:tcW w:w="1480" w:type="dxa"/>
            <w:gridSpan w:val="2"/>
            <w:tcBorders>
              <w:bottom w:val="single" w:sz="4" w:space="0" w:color="auto"/>
            </w:tcBorders>
            <w:shd w:val="clear" w:color="auto" w:fill="D9D9D9" w:themeFill="background1" w:themeFillShade="D9"/>
            <w:vAlign w:val="center"/>
          </w:tcPr>
          <w:p w14:paraId="23BEB11C" w14:textId="77777777" w:rsidR="00170B66" w:rsidRPr="00CC03D5" w:rsidRDefault="00170B66" w:rsidP="000A162D">
            <w:pPr>
              <w:pStyle w:val="TableParagraph"/>
              <w:jc w:val="center"/>
              <w:rPr>
                <w:rFonts w:ascii="Arial" w:eastAsia="Arial" w:hAnsi="Arial" w:cs="Arial"/>
                <w:spacing w:val="-1"/>
                <w:sz w:val="16"/>
                <w:szCs w:val="16"/>
                <w:lang w:val="cs-CZ"/>
              </w:rPr>
            </w:pPr>
            <w:r w:rsidRPr="00CC03D5">
              <w:rPr>
                <w:rFonts w:ascii="Arial" w:eastAsia="Arial" w:hAnsi="Arial" w:cs="Arial"/>
                <w:b/>
                <w:bCs/>
                <w:sz w:val="16"/>
                <w:szCs w:val="16"/>
                <w:lang w:val="cs-CZ"/>
              </w:rPr>
              <w:t>3</w:t>
            </w:r>
          </w:p>
        </w:tc>
        <w:tc>
          <w:tcPr>
            <w:tcW w:w="1752" w:type="dxa"/>
            <w:tcBorders>
              <w:bottom w:val="single" w:sz="4" w:space="0" w:color="auto"/>
            </w:tcBorders>
            <w:shd w:val="clear" w:color="auto" w:fill="D9D9D9" w:themeFill="background1" w:themeFillShade="D9"/>
            <w:vAlign w:val="center"/>
          </w:tcPr>
          <w:p w14:paraId="659D5364" w14:textId="77777777" w:rsidR="00170B66" w:rsidRPr="00CC03D5" w:rsidRDefault="00170B66" w:rsidP="000A162D">
            <w:pPr>
              <w:pStyle w:val="TableParagraph"/>
              <w:jc w:val="center"/>
              <w:rPr>
                <w:rFonts w:ascii="Arial" w:eastAsia="Arial" w:hAnsi="Arial" w:cs="Arial"/>
                <w:sz w:val="16"/>
                <w:szCs w:val="16"/>
                <w:lang w:val="cs-CZ"/>
              </w:rPr>
            </w:pPr>
            <w:r w:rsidRPr="00CC03D5">
              <w:rPr>
                <w:rFonts w:ascii="Arial" w:eastAsia="Arial" w:hAnsi="Arial" w:cs="Arial"/>
                <w:spacing w:val="-1"/>
                <w:sz w:val="16"/>
                <w:szCs w:val="16"/>
                <w:lang w:val="cs-CZ"/>
              </w:rPr>
              <w:t>23</w:t>
            </w:r>
            <w:r w:rsidRPr="00CC03D5">
              <w:rPr>
                <w:rFonts w:ascii="Arial" w:eastAsia="Arial" w:hAnsi="Arial" w:cs="Arial"/>
                <w:sz w:val="16"/>
                <w:szCs w:val="16"/>
                <w:lang w:val="cs-CZ"/>
              </w:rPr>
              <w:t>/</w:t>
            </w:r>
            <w:r w:rsidRPr="00CC03D5">
              <w:rPr>
                <w:rFonts w:ascii="Arial" w:eastAsia="Arial" w:hAnsi="Arial" w:cs="Arial"/>
                <w:spacing w:val="-1"/>
                <w:sz w:val="16"/>
                <w:szCs w:val="16"/>
                <w:lang w:val="cs-CZ"/>
              </w:rPr>
              <w:t>201</w:t>
            </w:r>
            <w:r w:rsidRPr="00CC03D5">
              <w:rPr>
                <w:rFonts w:ascii="Arial" w:eastAsia="Arial" w:hAnsi="Arial" w:cs="Arial"/>
                <w:sz w:val="16"/>
                <w:szCs w:val="16"/>
                <w:lang w:val="cs-CZ"/>
              </w:rPr>
              <w:t>1 S</w:t>
            </w:r>
            <w:r w:rsidRPr="00CC03D5">
              <w:rPr>
                <w:rFonts w:ascii="Arial" w:eastAsia="Arial" w:hAnsi="Arial" w:cs="Arial"/>
                <w:spacing w:val="-1"/>
                <w:sz w:val="16"/>
                <w:szCs w:val="16"/>
                <w:lang w:val="cs-CZ"/>
              </w:rPr>
              <w:t>b.</w:t>
            </w:r>
          </w:p>
        </w:tc>
        <w:tc>
          <w:tcPr>
            <w:tcW w:w="2694" w:type="dxa"/>
            <w:tcBorders>
              <w:bottom w:val="single" w:sz="4" w:space="0" w:color="auto"/>
            </w:tcBorders>
            <w:shd w:val="clear" w:color="auto" w:fill="D9D9D9" w:themeFill="background1" w:themeFillShade="D9"/>
            <w:vAlign w:val="center"/>
          </w:tcPr>
          <w:p w14:paraId="5F950376" w14:textId="77777777" w:rsidR="00170B66" w:rsidRPr="00CC03D5" w:rsidRDefault="00170B66" w:rsidP="000A162D">
            <w:pPr>
              <w:pStyle w:val="TableParagraph"/>
              <w:jc w:val="center"/>
              <w:rPr>
                <w:rFonts w:ascii="Arial" w:eastAsia="Calibri" w:hAnsi="Arial" w:cs="Arial"/>
                <w:sz w:val="16"/>
                <w:szCs w:val="16"/>
                <w:lang w:val="cs-CZ"/>
              </w:rPr>
            </w:pPr>
            <w:r w:rsidRPr="00CC03D5">
              <w:rPr>
                <w:rFonts w:ascii="Arial" w:hAnsi="Arial" w:cs="Arial"/>
                <w:spacing w:val="-1"/>
                <w:sz w:val="16"/>
                <w:szCs w:val="16"/>
                <w:lang w:val="cs-CZ"/>
              </w:rPr>
              <w:t>FGG Elbe 2013 / IKSE 2014</w:t>
            </w:r>
          </w:p>
        </w:tc>
        <w:tc>
          <w:tcPr>
            <w:tcW w:w="850" w:type="dxa"/>
            <w:tcBorders>
              <w:bottom w:val="single" w:sz="4" w:space="0" w:color="auto"/>
            </w:tcBorders>
            <w:shd w:val="clear" w:color="auto" w:fill="D9D9D9" w:themeFill="background1" w:themeFillShade="D9"/>
            <w:vAlign w:val="center"/>
          </w:tcPr>
          <w:p w14:paraId="72B2A16D" w14:textId="77777777" w:rsidR="00170B66" w:rsidRPr="00CC03D5" w:rsidRDefault="00170B66" w:rsidP="000A162D">
            <w:pPr>
              <w:pStyle w:val="TableParagraph"/>
              <w:jc w:val="center"/>
              <w:rPr>
                <w:rFonts w:ascii="Arial" w:eastAsia="Arial" w:hAnsi="Arial" w:cs="Arial"/>
                <w:sz w:val="16"/>
                <w:szCs w:val="16"/>
                <w:lang w:val="cs-CZ"/>
              </w:rPr>
            </w:pPr>
            <w:r w:rsidRPr="00CC03D5">
              <w:rPr>
                <w:rFonts w:ascii="Arial" w:eastAsia="Arial" w:hAnsi="Arial" w:cs="Arial"/>
                <w:b/>
                <w:bCs/>
                <w:sz w:val="16"/>
                <w:szCs w:val="16"/>
                <w:lang w:val="cs-CZ"/>
              </w:rPr>
              <w:t>3</w:t>
            </w:r>
          </w:p>
        </w:tc>
        <w:tc>
          <w:tcPr>
            <w:tcW w:w="709" w:type="dxa"/>
            <w:tcBorders>
              <w:bottom w:val="single" w:sz="4" w:space="0" w:color="auto"/>
            </w:tcBorders>
            <w:shd w:val="clear" w:color="auto" w:fill="D9D9D9" w:themeFill="background1" w:themeFillShade="D9"/>
            <w:vAlign w:val="center"/>
          </w:tcPr>
          <w:p w14:paraId="49E7D173" w14:textId="77777777" w:rsidR="00170B66" w:rsidRPr="00CC03D5" w:rsidRDefault="00170B66" w:rsidP="000A162D">
            <w:pPr>
              <w:pStyle w:val="TableParagraph"/>
              <w:jc w:val="center"/>
              <w:rPr>
                <w:rFonts w:ascii="Arial" w:eastAsia="Arial" w:hAnsi="Arial" w:cs="Arial"/>
                <w:b/>
                <w:spacing w:val="-1"/>
                <w:sz w:val="16"/>
                <w:szCs w:val="16"/>
                <w:lang w:val="cs-CZ"/>
              </w:rPr>
            </w:pPr>
            <w:r w:rsidRPr="00CC03D5">
              <w:rPr>
                <w:rFonts w:ascii="Arial" w:eastAsia="Arial" w:hAnsi="Arial" w:cs="Arial"/>
                <w:b/>
                <w:spacing w:val="-1"/>
                <w:sz w:val="16"/>
                <w:szCs w:val="16"/>
                <w:lang w:val="cs-CZ"/>
              </w:rPr>
              <w:t>53</w:t>
            </w:r>
          </w:p>
        </w:tc>
        <w:tc>
          <w:tcPr>
            <w:tcW w:w="1559" w:type="dxa"/>
            <w:tcBorders>
              <w:bottom w:val="single" w:sz="4" w:space="0" w:color="auto"/>
            </w:tcBorders>
            <w:shd w:val="clear" w:color="auto" w:fill="D9D9D9" w:themeFill="background1" w:themeFillShade="D9"/>
            <w:vAlign w:val="center"/>
          </w:tcPr>
          <w:p w14:paraId="5D5B168C" w14:textId="77777777" w:rsidR="00170B66" w:rsidRPr="00CC03D5" w:rsidRDefault="00170B66" w:rsidP="000A162D">
            <w:pPr>
              <w:pStyle w:val="TableParagraph"/>
              <w:jc w:val="center"/>
              <w:rPr>
                <w:rFonts w:ascii="Arial" w:eastAsia="Arial" w:hAnsi="Arial" w:cs="Arial"/>
                <w:sz w:val="16"/>
                <w:szCs w:val="16"/>
                <w:lang w:val="cs-CZ"/>
              </w:rPr>
            </w:pPr>
            <w:r w:rsidRPr="00CC03D5">
              <w:rPr>
                <w:rFonts w:ascii="Arial" w:eastAsia="Arial" w:hAnsi="Arial" w:cs="Arial"/>
                <w:spacing w:val="-1"/>
                <w:sz w:val="16"/>
                <w:szCs w:val="16"/>
                <w:lang w:val="cs-CZ"/>
              </w:rPr>
              <w:t>23</w:t>
            </w:r>
            <w:r w:rsidRPr="00CC03D5">
              <w:rPr>
                <w:rFonts w:ascii="Arial" w:eastAsia="Arial" w:hAnsi="Arial" w:cs="Arial"/>
                <w:sz w:val="16"/>
                <w:szCs w:val="16"/>
                <w:lang w:val="cs-CZ"/>
              </w:rPr>
              <w:t>/</w:t>
            </w:r>
            <w:r w:rsidRPr="00CC03D5">
              <w:rPr>
                <w:rFonts w:ascii="Arial" w:eastAsia="Arial" w:hAnsi="Arial" w:cs="Arial"/>
                <w:spacing w:val="-1"/>
                <w:sz w:val="16"/>
                <w:szCs w:val="16"/>
                <w:lang w:val="cs-CZ"/>
              </w:rPr>
              <w:t>201</w:t>
            </w:r>
            <w:r w:rsidRPr="00CC03D5">
              <w:rPr>
                <w:rFonts w:ascii="Arial" w:eastAsia="Arial" w:hAnsi="Arial" w:cs="Arial"/>
                <w:sz w:val="16"/>
                <w:szCs w:val="16"/>
                <w:lang w:val="cs-CZ"/>
              </w:rPr>
              <w:t>1 S</w:t>
            </w:r>
            <w:r w:rsidRPr="00CC03D5">
              <w:rPr>
                <w:rFonts w:ascii="Arial" w:eastAsia="Arial" w:hAnsi="Arial" w:cs="Arial"/>
                <w:spacing w:val="-1"/>
                <w:sz w:val="16"/>
                <w:szCs w:val="16"/>
                <w:lang w:val="cs-CZ"/>
              </w:rPr>
              <w:t>b.</w:t>
            </w:r>
          </w:p>
        </w:tc>
        <w:tc>
          <w:tcPr>
            <w:tcW w:w="2552" w:type="dxa"/>
            <w:tcBorders>
              <w:bottom w:val="single" w:sz="4" w:space="0" w:color="auto"/>
            </w:tcBorders>
            <w:shd w:val="clear" w:color="auto" w:fill="D9D9D9" w:themeFill="background1" w:themeFillShade="D9"/>
            <w:vAlign w:val="center"/>
          </w:tcPr>
          <w:p w14:paraId="0A7CD6AC" w14:textId="77777777" w:rsidR="00170B66" w:rsidRPr="00CC03D5" w:rsidRDefault="00170B66" w:rsidP="00EF2C7A">
            <w:pPr>
              <w:pStyle w:val="TableParagraph"/>
              <w:jc w:val="center"/>
              <w:rPr>
                <w:rFonts w:ascii="Arial" w:eastAsia="Calibri" w:hAnsi="Arial" w:cs="Arial"/>
                <w:sz w:val="16"/>
                <w:szCs w:val="16"/>
                <w:lang w:val="cs-CZ"/>
              </w:rPr>
            </w:pPr>
            <w:r w:rsidRPr="00CC03D5">
              <w:rPr>
                <w:rFonts w:ascii="Arial" w:hAnsi="Arial" w:cs="Arial"/>
                <w:spacing w:val="-1"/>
                <w:sz w:val="16"/>
                <w:szCs w:val="16"/>
                <w:lang w:val="cs-CZ"/>
              </w:rPr>
              <w:t>FGG Elbe 2016</w:t>
            </w:r>
            <w:r w:rsidR="006310D8">
              <w:rPr>
                <w:rFonts w:ascii="Arial" w:hAnsi="Arial" w:cs="Arial"/>
                <w:spacing w:val="-1"/>
                <w:sz w:val="16"/>
                <w:szCs w:val="16"/>
                <w:lang w:val="cs-CZ"/>
              </w:rPr>
              <w:t xml:space="preserve"> </w:t>
            </w:r>
            <w:r w:rsidR="00EF2C7A" w:rsidRPr="006310D8">
              <w:rPr>
                <w:rFonts w:ascii="Arial" w:hAnsi="Arial" w:cs="Arial"/>
                <w:spacing w:val="-1"/>
                <w:sz w:val="16"/>
                <w:szCs w:val="16"/>
                <w:vertAlign w:val="superscript"/>
                <w:lang w:val="cs-CZ"/>
              </w:rPr>
              <w:t>3)</w:t>
            </w:r>
            <w:r w:rsidRPr="00CC03D5">
              <w:rPr>
                <w:rFonts w:ascii="Arial" w:hAnsi="Arial" w:cs="Arial"/>
                <w:spacing w:val="-1"/>
                <w:sz w:val="16"/>
                <w:szCs w:val="16"/>
                <w:lang w:val="cs-CZ"/>
              </w:rPr>
              <w:t xml:space="preserve"> / IKSE 2018 </w:t>
            </w:r>
          </w:p>
        </w:tc>
      </w:tr>
      <w:tr w:rsidR="00170B66" w:rsidRPr="00CC03D5" w14:paraId="370C41A2" w14:textId="77777777" w:rsidTr="00733615">
        <w:trPr>
          <w:cantSplit/>
        </w:trPr>
        <w:tc>
          <w:tcPr>
            <w:tcW w:w="0" w:type="auto"/>
            <w:tcBorders>
              <w:bottom w:val="single" w:sz="4" w:space="0" w:color="auto"/>
            </w:tcBorders>
            <w:vAlign w:val="center"/>
          </w:tcPr>
          <w:p w14:paraId="40850E9F" w14:textId="77777777" w:rsidR="00170B66" w:rsidRPr="00CC03D5" w:rsidRDefault="00170B66" w:rsidP="000A162D">
            <w:pPr>
              <w:pStyle w:val="TableParagraph"/>
              <w:jc w:val="center"/>
              <w:rPr>
                <w:rFonts w:ascii="Arial" w:eastAsia="Arial" w:hAnsi="Arial" w:cs="Arial"/>
                <w:sz w:val="16"/>
                <w:szCs w:val="16"/>
                <w:lang w:val="cs-CZ"/>
              </w:rPr>
            </w:pPr>
            <w:r w:rsidRPr="00CC03D5">
              <w:rPr>
                <w:rFonts w:ascii="Arial" w:eastAsia="Arial" w:hAnsi="Arial" w:cs="Arial"/>
                <w:b/>
                <w:bCs/>
                <w:sz w:val="16"/>
                <w:szCs w:val="16"/>
                <w:lang w:val="cs-CZ"/>
              </w:rPr>
              <w:t>7</w:t>
            </w:r>
          </w:p>
        </w:tc>
        <w:tc>
          <w:tcPr>
            <w:tcW w:w="1168" w:type="dxa"/>
            <w:tcBorders>
              <w:bottom w:val="single" w:sz="4" w:space="0" w:color="auto"/>
            </w:tcBorders>
            <w:vAlign w:val="center"/>
          </w:tcPr>
          <w:p w14:paraId="4B8ECBFE" w14:textId="77777777" w:rsidR="00170B66" w:rsidRPr="00CC03D5" w:rsidRDefault="00170B66" w:rsidP="000A162D">
            <w:pPr>
              <w:pStyle w:val="TableParagraph"/>
              <w:rPr>
                <w:rFonts w:ascii="Arial" w:eastAsia="Arial" w:hAnsi="Arial" w:cs="Arial"/>
                <w:sz w:val="16"/>
                <w:szCs w:val="16"/>
                <w:lang w:val="cs-CZ"/>
              </w:rPr>
            </w:pPr>
            <w:r w:rsidRPr="00CC03D5">
              <w:rPr>
                <w:rFonts w:ascii="Arial" w:eastAsia="Arial" w:hAnsi="Arial" w:cs="Arial"/>
                <w:b/>
                <w:bCs/>
                <w:spacing w:val="-6"/>
                <w:sz w:val="16"/>
                <w:szCs w:val="16"/>
                <w:lang w:val="cs-CZ"/>
              </w:rPr>
              <w:t>A</w:t>
            </w:r>
            <w:r w:rsidRPr="00CC03D5">
              <w:rPr>
                <w:rFonts w:ascii="Arial" w:eastAsia="Arial" w:hAnsi="Arial" w:cs="Arial"/>
                <w:b/>
                <w:bCs/>
                <w:sz w:val="16"/>
                <w:szCs w:val="16"/>
                <w:lang w:val="cs-CZ"/>
              </w:rPr>
              <w:t>s</w:t>
            </w:r>
          </w:p>
        </w:tc>
        <w:tc>
          <w:tcPr>
            <w:tcW w:w="828" w:type="dxa"/>
            <w:tcBorders>
              <w:bottom w:val="single" w:sz="4" w:space="0" w:color="auto"/>
            </w:tcBorders>
            <w:vAlign w:val="center"/>
          </w:tcPr>
          <w:p w14:paraId="4034AE22" w14:textId="77777777" w:rsidR="00170B66" w:rsidRPr="00CC03D5" w:rsidRDefault="00170B66" w:rsidP="000A162D">
            <w:pPr>
              <w:pStyle w:val="TableParagraph"/>
              <w:jc w:val="center"/>
              <w:rPr>
                <w:rFonts w:ascii="Arial" w:eastAsia="Arial" w:hAnsi="Arial" w:cs="Arial"/>
                <w:sz w:val="16"/>
                <w:szCs w:val="16"/>
                <w:lang w:val="cs-CZ"/>
              </w:rPr>
            </w:pPr>
            <w:r w:rsidRPr="00CC03D5">
              <w:rPr>
                <w:rFonts w:ascii="Arial" w:eastAsia="Arial" w:hAnsi="Arial" w:cs="Arial"/>
                <w:b/>
                <w:bCs/>
                <w:sz w:val="16"/>
                <w:szCs w:val="16"/>
                <w:lang w:val="cs-CZ"/>
              </w:rPr>
              <w:t>mg/</w:t>
            </w:r>
            <w:r w:rsidRPr="00CC03D5">
              <w:rPr>
                <w:rFonts w:ascii="Arial" w:eastAsia="Arial" w:hAnsi="Arial" w:cs="Arial"/>
                <w:b/>
                <w:bCs/>
                <w:spacing w:val="-3"/>
                <w:sz w:val="16"/>
                <w:szCs w:val="16"/>
                <w:lang w:val="cs-CZ"/>
              </w:rPr>
              <w:t>k</w:t>
            </w:r>
            <w:r w:rsidRPr="00CC03D5">
              <w:rPr>
                <w:rFonts w:ascii="Arial" w:eastAsia="Arial" w:hAnsi="Arial" w:cs="Arial"/>
                <w:b/>
                <w:bCs/>
                <w:sz w:val="16"/>
                <w:szCs w:val="16"/>
                <w:lang w:val="cs-CZ"/>
              </w:rPr>
              <w:t>g</w:t>
            </w:r>
          </w:p>
        </w:tc>
        <w:tc>
          <w:tcPr>
            <w:tcW w:w="1480" w:type="dxa"/>
            <w:gridSpan w:val="2"/>
            <w:tcBorders>
              <w:bottom w:val="single" w:sz="4" w:space="0" w:color="auto"/>
            </w:tcBorders>
            <w:shd w:val="clear" w:color="auto" w:fill="CAFBA5"/>
            <w:vAlign w:val="center"/>
          </w:tcPr>
          <w:p w14:paraId="4009268B" w14:textId="77777777" w:rsidR="00170B66" w:rsidRPr="00CC03D5" w:rsidRDefault="00170B66" w:rsidP="000A162D">
            <w:pPr>
              <w:pStyle w:val="TableParagraph"/>
              <w:jc w:val="center"/>
              <w:rPr>
                <w:rFonts w:ascii="Arial" w:eastAsia="Arial" w:hAnsi="Arial" w:cs="Arial"/>
                <w:spacing w:val="-1"/>
                <w:sz w:val="16"/>
                <w:szCs w:val="16"/>
                <w:lang w:val="cs-CZ"/>
              </w:rPr>
            </w:pPr>
            <w:r w:rsidRPr="00CC03D5">
              <w:rPr>
                <w:rFonts w:ascii="Arial" w:eastAsia="Arial" w:hAnsi="Arial" w:cs="Arial"/>
                <w:b/>
                <w:bCs/>
                <w:spacing w:val="-1"/>
                <w:sz w:val="16"/>
                <w:szCs w:val="16"/>
                <w:lang w:val="cs-CZ"/>
              </w:rPr>
              <w:t>7</w:t>
            </w:r>
            <w:r w:rsidRPr="00CC03D5">
              <w:rPr>
                <w:rFonts w:ascii="Arial" w:eastAsia="Arial" w:hAnsi="Arial" w:cs="Arial"/>
                <w:b/>
                <w:bCs/>
                <w:sz w:val="16"/>
                <w:szCs w:val="16"/>
                <w:lang w:val="cs-CZ"/>
              </w:rPr>
              <w:t>,9</w:t>
            </w:r>
          </w:p>
        </w:tc>
        <w:tc>
          <w:tcPr>
            <w:tcW w:w="1752" w:type="dxa"/>
            <w:tcBorders>
              <w:bottom w:val="single" w:sz="4" w:space="0" w:color="auto"/>
            </w:tcBorders>
            <w:shd w:val="clear" w:color="auto" w:fill="CAFBA5"/>
            <w:vAlign w:val="center"/>
          </w:tcPr>
          <w:p w14:paraId="3A187452" w14:textId="77777777" w:rsidR="00170B66" w:rsidRPr="00CC03D5" w:rsidRDefault="00170B66" w:rsidP="000A162D">
            <w:pPr>
              <w:pStyle w:val="TableParagraph"/>
              <w:jc w:val="center"/>
              <w:rPr>
                <w:rFonts w:ascii="Arial" w:eastAsia="Arial" w:hAnsi="Arial" w:cs="Arial"/>
                <w:sz w:val="16"/>
                <w:szCs w:val="16"/>
                <w:lang w:val="cs-CZ"/>
              </w:rPr>
            </w:pPr>
            <w:r w:rsidRPr="00CC03D5">
              <w:rPr>
                <w:rFonts w:ascii="Arial" w:eastAsia="Arial" w:hAnsi="Arial" w:cs="Arial"/>
                <w:spacing w:val="-1"/>
                <w:sz w:val="16"/>
                <w:szCs w:val="16"/>
                <w:lang w:val="cs-CZ"/>
              </w:rPr>
              <w:t>d</w:t>
            </w:r>
            <w:r w:rsidRPr="00CC03D5">
              <w:rPr>
                <w:rFonts w:ascii="Arial" w:eastAsia="Arial" w:hAnsi="Arial" w:cs="Arial"/>
                <w:sz w:val="16"/>
                <w:szCs w:val="16"/>
                <w:lang w:val="cs-CZ"/>
              </w:rPr>
              <w:t xml:space="preserve">e </w:t>
            </w:r>
            <w:proofErr w:type="spellStart"/>
            <w:proofErr w:type="gramStart"/>
            <w:r w:rsidRPr="00CC03D5">
              <w:rPr>
                <w:rFonts w:ascii="Arial" w:eastAsia="Arial" w:hAnsi="Arial" w:cs="Arial"/>
                <w:spacing w:val="-1"/>
                <w:sz w:val="16"/>
                <w:szCs w:val="16"/>
                <w:lang w:val="cs-CZ"/>
              </w:rPr>
              <w:t>De</w:t>
            </w:r>
            <w:r w:rsidRPr="00CC03D5">
              <w:rPr>
                <w:rFonts w:ascii="Arial" w:eastAsia="Arial" w:hAnsi="Arial" w:cs="Arial"/>
                <w:spacing w:val="1"/>
                <w:sz w:val="16"/>
                <w:szCs w:val="16"/>
                <w:lang w:val="cs-CZ"/>
              </w:rPr>
              <w:t>ck</w:t>
            </w:r>
            <w:r w:rsidRPr="00CC03D5">
              <w:rPr>
                <w:rFonts w:ascii="Arial" w:eastAsia="Arial" w:hAnsi="Arial" w:cs="Arial"/>
                <w:spacing w:val="-1"/>
                <w:sz w:val="16"/>
                <w:szCs w:val="16"/>
                <w:lang w:val="cs-CZ"/>
              </w:rPr>
              <w:t>er</w:t>
            </w:r>
            <w:r w:rsidRPr="00CC03D5">
              <w:rPr>
                <w:rFonts w:ascii="Arial" w:eastAsia="Arial" w:hAnsi="Arial" w:cs="Arial"/>
                <w:sz w:val="16"/>
                <w:szCs w:val="16"/>
                <w:lang w:val="cs-CZ"/>
              </w:rPr>
              <w:t>e</w:t>
            </w:r>
            <w:proofErr w:type="spellEnd"/>
            <w:proofErr w:type="gramEnd"/>
          </w:p>
        </w:tc>
        <w:tc>
          <w:tcPr>
            <w:tcW w:w="2694" w:type="dxa"/>
            <w:tcBorders>
              <w:bottom w:val="single" w:sz="4" w:space="0" w:color="auto"/>
            </w:tcBorders>
            <w:shd w:val="clear" w:color="auto" w:fill="CAFBA5"/>
            <w:vAlign w:val="center"/>
          </w:tcPr>
          <w:p w14:paraId="57332EC0" w14:textId="77777777" w:rsidR="00170B66" w:rsidRPr="00CC03D5" w:rsidRDefault="00170B66" w:rsidP="000A162D">
            <w:pPr>
              <w:pStyle w:val="TableParagraph"/>
              <w:jc w:val="center"/>
              <w:rPr>
                <w:rFonts w:ascii="Arial" w:eastAsia="Calibri" w:hAnsi="Arial" w:cs="Arial"/>
                <w:sz w:val="16"/>
                <w:szCs w:val="16"/>
                <w:lang w:val="cs-CZ"/>
              </w:rPr>
            </w:pPr>
            <w:r w:rsidRPr="00CC03D5">
              <w:rPr>
                <w:rFonts w:ascii="Arial" w:hAnsi="Arial" w:cs="Arial"/>
                <w:spacing w:val="-1"/>
                <w:sz w:val="16"/>
                <w:szCs w:val="16"/>
                <w:lang w:val="cs-CZ"/>
              </w:rPr>
              <w:t>FGG Elbe 2013 / IKSE 2014</w:t>
            </w:r>
          </w:p>
        </w:tc>
        <w:tc>
          <w:tcPr>
            <w:tcW w:w="1559" w:type="dxa"/>
            <w:gridSpan w:val="2"/>
            <w:tcBorders>
              <w:bottom w:val="single" w:sz="4" w:space="0" w:color="auto"/>
            </w:tcBorders>
            <w:shd w:val="clear" w:color="auto" w:fill="F7CAAC" w:themeFill="accent2" w:themeFillTint="66"/>
            <w:vAlign w:val="center"/>
          </w:tcPr>
          <w:p w14:paraId="61956818" w14:textId="77777777" w:rsidR="00170B66" w:rsidRPr="00CC03D5" w:rsidRDefault="00170B66" w:rsidP="000A162D">
            <w:pPr>
              <w:pStyle w:val="TableParagraph"/>
              <w:jc w:val="center"/>
              <w:rPr>
                <w:rFonts w:ascii="Arial" w:eastAsia="Arial" w:hAnsi="Arial" w:cs="Arial"/>
                <w:spacing w:val="-1"/>
                <w:sz w:val="16"/>
                <w:szCs w:val="16"/>
                <w:lang w:val="cs-CZ"/>
              </w:rPr>
            </w:pPr>
            <w:r w:rsidRPr="00CC03D5">
              <w:rPr>
                <w:rFonts w:ascii="Arial" w:eastAsia="Arial" w:hAnsi="Arial" w:cs="Arial"/>
                <w:b/>
                <w:bCs/>
                <w:spacing w:val="-1"/>
                <w:sz w:val="16"/>
                <w:szCs w:val="16"/>
                <w:lang w:val="cs-CZ"/>
              </w:rPr>
              <w:t>40</w:t>
            </w:r>
          </w:p>
        </w:tc>
        <w:tc>
          <w:tcPr>
            <w:tcW w:w="1559" w:type="dxa"/>
            <w:tcBorders>
              <w:bottom w:val="single" w:sz="4" w:space="0" w:color="auto"/>
            </w:tcBorders>
            <w:shd w:val="clear" w:color="auto" w:fill="F7CAAC" w:themeFill="accent2" w:themeFillTint="66"/>
            <w:vAlign w:val="center"/>
          </w:tcPr>
          <w:p w14:paraId="3BC75396" w14:textId="77777777" w:rsidR="00170B66" w:rsidRPr="00CC03D5" w:rsidRDefault="00170B66" w:rsidP="000A162D">
            <w:pPr>
              <w:pStyle w:val="TableParagraph"/>
              <w:jc w:val="center"/>
              <w:rPr>
                <w:rFonts w:ascii="Arial" w:eastAsia="Arial" w:hAnsi="Arial" w:cs="Arial"/>
                <w:sz w:val="16"/>
                <w:szCs w:val="16"/>
                <w:lang w:val="cs-CZ"/>
              </w:rPr>
            </w:pPr>
            <w:proofErr w:type="spellStart"/>
            <w:r w:rsidRPr="00CC03D5">
              <w:rPr>
                <w:rFonts w:ascii="Arial" w:eastAsia="Arial" w:hAnsi="Arial" w:cs="Arial"/>
                <w:spacing w:val="-1"/>
                <w:sz w:val="16"/>
                <w:szCs w:val="16"/>
                <w:lang w:val="cs-CZ"/>
              </w:rPr>
              <w:t>OGe</w:t>
            </w:r>
            <w:r w:rsidRPr="00CC03D5">
              <w:rPr>
                <w:rFonts w:ascii="Arial" w:eastAsia="Arial" w:hAnsi="Arial" w:cs="Arial"/>
                <w:spacing w:val="-4"/>
                <w:sz w:val="16"/>
                <w:szCs w:val="16"/>
                <w:lang w:val="cs-CZ"/>
              </w:rPr>
              <w:t>w</w:t>
            </w:r>
            <w:r w:rsidRPr="00CC03D5">
              <w:rPr>
                <w:rFonts w:ascii="Arial" w:eastAsia="Arial" w:hAnsi="Arial" w:cs="Arial"/>
                <w:sz w:val="16"/>
                <w:szCs w:val="16"/>
                <w:lang w:val="cs-CZ"/>
              </w:rPr>
              <w:t>V</w:t>
            </w:r>
            <w:proofErr w:type="spellEnd"/>
          </w:p>
        </w:tc>
        <w:tc>
          <w:tcPr>
            <w:tcW w:w="2552" w:type="dxa"/>
            <w:tcBorders>
              <w:bottom w:val="single" w:sz="4" w:space="0" w:color="auto"/>
            </w:tcBorders>
            <w:shd w:val="clear" w:color="auto" w:fill="F7CAAC" w:themeFill="accent2" w:themeFillTint="66"/>
            <w:vAlign w:val="center"/>
          </w:tcPr>
          <w:p w14:paraId="68DE666D" w14:textId="77777777" w:rsidR="00170B66" w:rsidRPr="00CC03D5" w:rsidRDefault="00170B66" w:rsidP="000A162D">
            <w:pPr>
              <w:pStyle w:val="TableParagraph"/>
              <w:jc w:val="center"/>
              <w:rPr>
                <w:rFonts w:ascii="Arial" w:eastAsia="Calibri" w:hAnsi="Arial" w:cs="Arial"/>
                <w:sz w:val="16"/>
                <w:szCs w:val="16"/>
                <w:lang w:val="cs-CZ"/>
              </w:rPr>
            </w:pPr>
            <w:r w:rsidRPr="00CC03D5">
              <w:rPr>
                <w:rFonts w:ascii="Arial" w:hAnsi="Arial" w:cs="Arial"/>
                <w:spacing w:val="-1"/>
                <w:sz w:val="16"/>
                <w:szCs w:val="16"/>
                <w:lang w:val="cs-CZ"/>
              </w:rPr>
              <w:t>FGG Elbe 2013 / IKSE 2014</w:t>
            </w:r>
          </w:p>
        </w:tc>
      </w:tr>
      <w:tr w:rsidR="00170B66" w:rsidRPr="00CC03D5" w14:paraId="77C4F30A" w14:textId="77777777" w:rsidTr="00733615">
        <w:trPr>
          <w:cantSplit/>
        </w:trPr>
        <w:tc>
          <w:tcPr>
            <w:tcW w:w="0" w:type="auto"/>
            <w:shd w:val="clear" w:color="auto" w:fill="D9D9D9" w:themeFill="background1" w:themeFillShade="D9"/>
            <w:vAlign w:val="center"/>
          </w:tcPr>
          <w:p w14:paraId="6C3EBC1D" w14:textId="77777777" w:rsidR="00170B66" w:rsidRPr="00CC03D5" w:rsidRDefault="00170B66" w:rsidP="000A162D">
            <w:pPr>
              <w:pStyle w:val="TableParagraph"/>
              <w:jc w:val="center"/>
              <w:rPr>
                <w:rFonts w:ascii="Arial" w:eastAsia="Arial" w:hAnsi="Arial" w:cs="Arial"/>
                <w:sz w:val="16"/>
                <w:szCs w:val="16"/>
                <w:lang w:val="cs-CZ"/>
              </w:rPr>
            </w:pPr>
            <w:r w:rsidRPr="00CC03D5">
              <w:rPr>
                <w:rFonts w:ascii="Arial" w:eastAsia="Arial" w:hAnsi="Arial" w:cs="Arial"/>
                <w:b/>
                <w:bCs/>
                <w:sz w:val="16"/>
                <w:szCs w:val="16"/>
                <w:lang w:val="cs-CZ"/>
              </w:rPr>
              <w:t>8</w:t>
            </w:r>
          </w:p>
        </w:tc>
        <w:tc>
          <w:tcPr>
            <w:tcW w:w="1168" w:type="dxa"/>
            <w:shd w:val="clear" w:color="auto" w:fill="D9D9D9" w:themeFill="background1" w:themeFillShade="D9"/>
            <w:vAlign w:val="center"/>
          </w:tcPr>
          <w:p w14:paraId="3DC3A3B0" w14:textId="77777777" w:rsidR="00170B66" w:rsidRPr="00CC03D5" w:rsidRDefault="00170B66" w:rsidP="000A162D">
            <w:pPr>
              <w:pStyle w:val="TableParagraph"/>
              <w:rPr>
                <w:rFonts w:ascii="Arial" w:eastAsia="Arial" w:hAnsi="Arial" w:cs="Arial"/>
                <w:sz w:val="16"/>
                <w:szCs w:val="16"/>
                <w:lang w:val="cs-CZ"/>
              </w:rPr>
            </w:pPr>
            <w:proofErr w:type="spellStart"/>
            <w:r w:rsidRPr="00CC03D5">
              <w:rPr>
                <w:rFonts w:ascii="Arial" w:eastAsia="Arial" w:hAnsi="Arial" w:cs="Arial"/>
                <w:b/>
                <w:bCs/>
                <w:spacing w:val="-1"/>
                <w:sz w:val="16"/>
                <w:szCs w:val="16"/>
                <w:lang w:val="cs-CZ"/>
              </w:rPr>
              <w:t>Cr</w:t>
            </w:r>
            <w:proofErr w:type="spellEnd"/>
          </w:p>
        </w:tc>
        <w:tc>
          <w:tcPr>
            <w:tcW w:w="828" w:type="dxa"/>
            <w:shd w:val="clear" w:color="auto" w:fill="D9D9D9" w:themeFill="background1" w:themeFillShade="D9"/>
            <w:vAlign w:val="center"/>
          </w:tcPr>
          <w:p w14:paraId="156B7A38" w14:textId="77777777" w:rsidR="00170B66" w:rsidRPr="00CC03D5" w:rsidRDefault="00170B66" w:rsidP="000A162D">
            <w:pPr>
              <w:pStyle w:val="TableParagraph"/>
              <w:jc w:val="center"/>
              <w:rPr>
                <w:rFonts w:ascii="Arial" w:eastAsia="Arial" w:hAnsi="Arial" w:cs="Arial"/>
                <w:sz w:val="16"/>
                <w:szCs w:val="16"/>
                <w:lang w:val="cs-CZ"/>
              </w:rPr>
            </w:pPr>
            <w:r w:rsidRPr="00CC03D5">
              <w:rPr>
                <w:rFonts w:ascii="Arial" w:eastAsia="Arial" w:hAnsi="Arial" w:cs="Arial"/>
                <w:b/>
                <w:bCs/>
                <w:sz w:val="16"/>
                <w:szCs w:val="16"/>
                <w:lang w:val="cs-CZ"/>
              </w:rPr>
              <w:t>mg/</w:t>
            </w:r>
            <w:r w:rsidRPr="00CC03D5">
              <w:rPr>
                <w:rFonts w:ascii="Arial" w:eastAsia="Arial" w:hAnsi="Arial" w:cs="Arial"/>
                <w:b/>
                <w:bCs/>
                <w:spacing w:val="-3"/>
                <w:sz w:val="16"/>
                <w:szCs w:val="16"/>
                <w:lang w:val="cs-CZ"/>
              </w:rPr>
              <w:t>k</w:t>
            </w:r>
            <w:r w:rsidRPr="00CC03D5">
              <w:rPr>
                <w:rFonts w:ascii="Arial" w:eastAsia="Arial" w:hAnsi="Arial" w:cs="Arial"/>
                <w:b/>
                <w:bCs/>
                <w:sz w:val="16"/>
                <w:szCs w:val="16"/>
                <w:lang w:val="cs-CZ"/>
              </w:rPr>
              <w:t>g</w:t>
            </w:r>
          </w:p>
        </w:tc>
        <w:tc>
          <w:tcPr>
            <w:tcW w:w="1480" w:type="dxa"/>
            <w:gridSpan w:val="2"/>
            <w:tcBorders>
              <w:bottom w:val="single" w:sz="4" w:space="0" w:color="auto"/>
            </w:tcBorders>
            <w:shd w:val="clear" w:color="auto" w:fill="D9D9D9" w:themeFill="background1" w:themeFillShade="D9"/>
            <w:vAlign w:val="center"/>
          </w:tcPr>
          <w:p w14:paraId="573C83AB" w14:textId="77777777" w:rsidR="00170B66" w:rsidRPr="00CC03D5" w:rsidRDefault="00170B66" w:rsidP="000A162D">
            <w:pPr>
              <w:pStyle w:val="TableParagraph"/>
              <w:jc w:val="center"/>
              <w:rPr>
                <w:rFonts w:ascii="Arial" w:eastAsia="Arial" w:hAnsi="Arial" w:cs="Arial"/>
                <w:spacing w:val="-1"/>
                <w:sz w:val="16"/>
                <w:szCs w:val="16"/>
                <w:lang w:val="cs-CZ"/>
              </w:rPr>
            </w:pPr>
            <w:r w:rsidRPr="00CC03D5">
              <w:rPr>
                <w:rFonts w:ascii="Arial" w:eastAsia="Arial" w:hAnsi="Arial" w:cs="Arial"/>
                <w:b/>
                <w:bCs/>
                <w:spacing w:val="-1"/>
                <w:sz w:val="16"/>
                <w:szCs w:val="16"/>
                <w:lang w:val="cs-CZ"/>
              </w:rPr>
              <w:t>26</w:t>
            </w:r>
          </w:p>
        </w:tc>
        <w:tc>
          <w:tcPr>
            <w:tcW w:w="1752" w:type="dxa"/>
            <w:tcBorders>
              <w:bottom w:val="single" w:sz="4" w:space="0" w:color="auto"/>
            </w:tcBorders>
            <w:shd w:val="clear" w:color="auto" w:fill="D9D9D9" w:themeFill="background1" w:themeFillShade="D9"/>
            <w:vAlign w:val="center"/>
          </w:tcPr>
          <w:p w14:paraId="47942258" w14:textId="77777777" w:rsidR="00170B66" w:rsidRPr="00CC03D5" w:rsidRDefault="00170B66" w:rsidP="000A162D">
            <w:pPr>
              <w:pStyle w:val="TableParagraph"/>
              <w:jc w:val="center"/>
              <w:rPr>
                <w:rFonts w:ascii="Arial" w:eastAsia="Arial" w:hAnsi="Arial" w:cs="Arial"/>
                <w:sz w:val="16"/>
                <w:szCs w:val="16"/>
                <w:lang w:val="cs-CZ"/>
              </w:rPr>
            </w:pPr>
            <w:r w:rsidRPr="00CC03D5">
              <w:rPr>
                <w:rFonts w:ascii="Arial" w:eastAsia="Arial" w:hAnsi="Arial" w:cs="Arial"/>
                <w:spacing w:val="-1"/>
                <w:sz w:val="16"/>
                <w:szCs w:val="16"/>
                <w:lang w:val="cs-CZ"/>
              </w:rPr>
              <w:t>d</w:t>
            </w:r>
            <w:r w:rsidRPr="00CC03D5">
              <w:rPr>
                <w:rFonts w:ascii="Arial" w:eastAsia="Arial" w:hAnsi="Arial" w:cs="Arial"/>
                <w:sz w:val="16"/>
                <w:szCs w:val="16"/>
                <w:lang w:val="cs-CZ"/>
              </w:rPr>
              <w:t xml:space="preserve">e </w:t>
            </w:r>
            <w:proofErr w:type="spellStart"/>
            <w:proofErr w:type="gramStart"/>
            <w:r w:rsidRPr="00CC03D5">
              <w:rPr>
                <w:rFonts w:ascii="Arial" w:eastAsia="Arial" w:hAnsi="Arial" w:cs="Arial"/>
                <w:spacing w:val="-1"/>
                <w:sz w:val="16"/>
                <w:szCs w:val="16"/>
                <w:lang w:val="cs-CZ"/>
              </w:rPr>
              <w:t>De</w:t>
            </w:r>
            <w:r w:rsidRPr="00CC03D5">
              <w:rPr>
                <w:rFonts w:ascii="Arial" w:eastAsia="Arial" w:hAnsi="Arial" w:cs="Arial"/>
                <w:spacing w:val="1"/>
                <w:sz w:val="16"/>
                <w:szCs w:val="16"/>
                <w:lang w:val="cs-CZ"/>
              </w:rPr>
              <w:t>ck</w:t>
            </w:r>
            <w:r w:rsidRPr="00CC03D5">
              <w:rPr>
                <w:rFonts w:ascii="Arial" w:eastAsia="Arial" w:hAnsi="Arial" w:cs="Arial"/>
                <w:spacing w:val="-1"/>
                <w:sz w:val="16"/>
                <w:szCs w:val="16"/>
                <w:lang w:val="cs-CZ"/>
              </w:rPr>
              <w:t>er</w:t>
            </w:r>
            <w:r w:rsidRPr="00CC03D5">
              <w:rPr>
                <w:rFonts w:ascii="Arial" w:eastAsia="Arial" w:hAnsi="Arial" w:cs="Arial"/>
                <w:sz w:val="16"/>
                <w:szCs w:val="16"/>
                <w:lang w:val="cs-CZ"/>
              </w:rPr>
              <w:t>e</w:t>
            </w:r>
            <w:proofErr w:type="spellEnd"/>
            <w:proofErr w:type="gramEnd"/>
          </w:p>
        </w:tc>
        <w:tc>
          <w:tcPr>
            <w:tcW w:w="2694" w:type="dxa"/>
            <w:tcBorders>
              <w:bottom w:val="single" w:sz="4" w:space="0" w:color="auto"/>
            </w:tcBorders>
            <w:shd w:val="clear" w:color="auto" w:fill="D9D9D9" w:themeFill="background1" w:themeFillShade="D9"/>
            <w:vAlign w:val="center"/>
          </w:tcPr>
          <w:p w14:paraId="18F6610A" w14:textId="77777777" w:rsidR="00170B66" w:rsidRPr="00CC03D5" w:rsidRDefault="00170B66" w:rsidP="000A162D">
            <w:pPr>
              <w:pStyle w:val="TableParagraph"/>
              <w:jc w:val="center"/>
              <w:rPr>
                <w:rFonts w:ascii="Arial" w:eastAsia="Calibri" w:hAnsi="Arial" w:cs="Arial"/>
                <w:sz w:val="16"/>
                <w:szCs w:val="16"/>
                <w:lang w:val="cs-CZ"/>
              </w:rPr>
            </w:pPr>
            <w:r w:rsidRPr="00CC03D5">
              <w:rPr>
                <w:rFonts w:ascii="Arial" w:hAnsi="Arial" w:cs="Arial"/>
                <w:spacing w:val="-1"/>
                <w:sz w:val="16"/>
                <w:szCs w:val="16"/>
                <w:lang w:val="cs-CZ"/>
              </w:rPr>
              <w:t>FGG Elbe 2013 / IKSE 2014</w:t>
            </w:r>
          </w:p>
        </w:tc>
        <w:tc>
          <w:tcPr>
            <w:tcW w:w="1559" w:type="dxa"/>
            <w:gridSpan w:val="2"/>
            <w:tcBorders>
              <w:bottom w:val="single" w:sz="4" w:space="0" w:color="auto"/>
            </w:tcBorders>
            <w:shd w:val="clear" w:color="auto" w:fill="D9D9D9" w:themeFill="background1" w:themeFillShade="D9"/>
            <w:vAlign w:val="center"/>
          </w:tcPr>
          <w:p w14:paraId="3EF572A8" w14:textId="77777777" w:rsidR="00170B66" w:rsidRPr="00CC03D5" w:rsidRDefault="00170B66" w:rsidP="000A162D">
            <w:pPr>
              <w:pStyle w:val="TableParagraph"/>
              <w:jc w:val="center"/>
              <w:rPr>
                <w:rFonts w:ascii="Arial" w:eastAsia="Arial" w:hAnsi="Arial" w:cs="Arial"/>
                <w:spacing w:val="-1"/>
                <w:sz w:val="16"/>
                <w:szCs w:val="16"/>
                <w:lang w:val="cs-CZ"/>
              </w:rPr>
            </w:pPr>
            <w:r w:rsidRPr="00CC03D5">
              <w:rPr>
                <w:rFonts w:ascii="Arial" w:eastAsia="Arial" w:hAnsi="Arial" w:cs="Arial"/>
                <w:b/>
                <w:bCs/>
                <w:spacing w:val="-1"/>
                <w:sz w:val="16"/>
                <w:szCs w:val="16"/>
                <w:lang w:val="cs-CZ"/>
              </w:rPr>
              <w:t>640</w:t>
            </w:r>
          </w:p>
        </w:tc>
        <w:tc>
          <w:tcPr>
            <w:tcW w:w="1559" w:type="dxa"/>
            <w:tcBorders>
              <w:bottom w:val="single" w:sz="4" w:space="0" w:color="auto"/>
            </w:tcBorders>
            <w:shd w:val="clear" w:color="auto" w:fill="D9D9D9" w:themeFill="background1" w:themeFillShade="D9"/>
            <w:vAlign w:val="center"/>
          </w:tcPr>
          <w:p w14:paraId="693C6F72" w14:textId="77777777" w:rsidR="00170B66" w:rsidRPr="00CC03D5" w:rsidRDefault="00170B66" w:rsidP="000A162D">
            <w:pPr>
              <w:pStyle w:val="TableParagraph"/>
              <w:jc w:val="center"/>
              <w:rPr>
                <w:rFonts w:ascii="Arial" w:eastAsia="Arial" w:hAnsi="Arial" w:cs="Arial"/>
                <w:sz w:val="16"/>
                <w:szCs w:val="16"/>
                <w:lang w:val="cs-CZ"/>
              </w:rPr>
            </w:pPr>
            <w:proofErr w:type="spellStart"/>
            <w:r w:rsidRPr="00CC03D5">
              <w:rPr>
                <w:rFonts w:ascii="Arial" w:eastAsia="Arial" w:hAnsi="Arial" w:cs="Arial"/>
                <w:spacing w:val="-1"/>
                <w:sz w:val="16"/>
                <w:szCs w:val="16"/>
                <w:lang w:val="cs-CZ"/>
              </w:rPr>
              <w:t>OGe</w:t>
            </w:r>
            <w:r w:rsidRPr="00CC03D5">
              <w:rPr>
                <w:rFonts w:ascii="Arial" w:eastAsia="Arial" w:hAnsi="Arial" w:cs="Arial"/>
                <w:spacing w:val="-4"/>
                <w:sz w:val="16"/>
                <w:szCs w:val="16"/>
                <w:lang w:val="cs-CZ"/>
              </w:rPr>
              <w:t>w</w:t>
            </w:r>
            <w:r w:rsidRPr="00CC03D5">
              <w:rPr>
                <w:rFonts w:ascii="Arial" w:eastAsia="Arial" w:hAnsi="Arial" w:cs="Arial"/>
                <w:sz w:val="16"/>
                <w:szCs w:val="16"/>
                <w:lang w:val="cs-CZ"/>
              </w:rPr>
              <w:t>V</w:t>
            </w:r>
            <w:proofErr w:type="spellEnd"/>
          </w:p>
        </w:tc>
        <w:tc>
          <w:tcPr>
            <w:tcW w:w="2552" w:type="dxa"/>
            <w:tcBorders>
              <w:bottom w:val="single" w:sz="4" w:space="0" w:color="auto"/>
            </w:tcBorders>
            <w:shd w:val="clear" w:color="auto" w:fill="D9D9D9" w:themeFill="background1" w:themeFillShade="D9"/>
            <w:vAlign w:val="center"/>
          </w:tcPr>
          <w:p w14:paraId="4E8C4F24" w14:textId="77777777" w:rsidR="00170B66" w:rsidRPr="00CC03D5" w:rsidRDefault="00170B66" w:rsidP="000A162D">
            <w:pPr>
              <w:pStyle w:val="TableParagraph"/>
              <w:jc w:val="center"/>
              <w:rPr>
                <w:rFonts w:ascii="Arial" w:eastAsia="Calibri" w:hAnsi="Arial" w:cs="Arial"/>
                <w:sz w:val="16"/>
                <w:szCs w:val="16"/>
                <w:lang w:val="cs-CZ"/>
              </w:rPr>
            </w:pPr>
            <w:r w:rsidRPr="00CC03D5">
              <w:rPr>
                <w:rFonts w:ascii="Arial" w:hAnsi="Arial" w:cs="Arial"/>
                <w:spacing w:val="-1"/>
                <w:sz w:val="16"/>
                <w:szCs w:val="16"/>
                <w:lang w:val="cs-CZ"/>
              </w:rPr>
              <w:t>FGG Elbe 2013 / IKSE 2014</w:t>
            </w:r>
          </w:p>
        </w:tc>
      </w:tr>
      <w:tr w:rsidR="00170B66" w:rsidRPr="00CC03D5" w14:paraId="72F3B21C" w14:textId="77777777" w:rsidTr="00733615">
        <w:trPr>
          <w:cantSplit/>
        </w:trPr>
        <w:tc>
          <w:tcPr>
            <w:tcW w:w="0" w:type="auto"/>
            <w:tcBorders>
              <w:bottom w:val="single" w:sz="4" w:space="0" w:color="auto"/>
            </w:tcBorders>
            <w:vAlign w:val="center"/>
          </w:tcPr>
          <w:p w14:paraId="59ACB41A" w14:textId="77777777" w:rsidR="00170B66" w:rsidRPr="00CC03D5" w:rsidRDefault="00170B66" w:rsidP="000A162D">
            <w:pPr>
              <w:pStyle w:val="TableParagraph"/>
              <w:jc w:val="center"/>
              <w:rPr>
                <w:rFonts w:ascii="Arial" w:eastAsia="Arial" w:hAnsi="Arial" w:cs="Arial"/>
                <w:sz w:val="16"/>
                <w:szCs w:val="16"/>
                <w:lang w:val="cs-CZ"/>
              </w:rPr>
            </w:pPr>
            <w:r w:rsidRPr="00CC03D5">
              <w:rPr>
                <w:rFonts w:ascii="Arial" w:eastAsia="Arial" w:hAnsi="Arial" w:cs="Arial"/>
                <w:b/>
                <w:bCs/>
                <w:sz w:val="16"/>
                <w:szCs w:val="16"/>
                <w:lang w:val="cs-CZ"/>
              </w:rPr>
              <w:t>9</w:t>
            </w:r>
          </w:p>
        </w:tc>
        <w:tc>
          <w:tcPr>
            <w:tcW w:w="1168" w:type="dxa"/>
            <w:tcBorders>
              <w:bottom w:val="single" w:sz="4" w:space="0" w:color="auto"/>
            </w:tcBorders>
            <w:vAlign w:val="center"/>
          </w:tcPr>
          <w:p w14:paraId="518631D2" w14:textId="77777777" w:rsidR="00170B66" w:rsidRPr="00CC03D5" w:rsidRDefault="00170B66" w:rsidP="000A162D">
            <w:pPr>
              <w:pStyle w:val="TableParagraph"/>
              <w:rPr>
                <w:rFonts w:ascii="Arial" w:eastAsia="Arial" w:hAnsi="Arial" w:cs="Arial"/>
                <w:sz w:val="16"/>
                <w:szCs w:val="16"/>
                <w:lang w:val="cs-CZ"/>
              </w:rPr>
            </w:pPr>
            <w:r w:rsidRPr="00CC03D5">
              <w:rPr>
                <w:rFonts w:ascii="Arial" w:eastAsia="Arial" w:hAnsi="Arial" w:cs="Arial"/>
                <w:b/>
                <w:bCs/>
                <w:spacing w:val="-1"/>
                <w:sz w:val="16"/>
                <w:szCs w:val="16"/>
                <w:lang w:val="cs-CZ"/>
              </w:rPr>
              <w:t>α-HCH</w:t>
            </w:r>
          </w:p>
        </w:tc>
        <w:tc>
          <w:tcPr>
            <w:tcW w:w="828" w:type="dxa"/>
            <w:tcBorders>
              <w:bottom w:val="single" w:sz="4" w:space="0" w:color="auto"/>
            </w:tcBorders>
            <w:vAlign w:val="center"/>
          </w:tcPr>
          <w:p w14:paraId="2432201B" w14:textId="77777777" w:rsidR="00170B66" w:rsidRPr="00CC03D5" w:rsidRDefault="00170B66" w:rsidP="000A162D">
            <w:pPr>
              <w:pStyle w:val="TableParagraph"/>
              <w:jc w:val="center"/>
              <w:rPr>
                <w:rFonts w:ascii="Arial" w:eastAsia="Arial" w:hAnsi="Arial" w:cs="Arial"/>
                <w:sz w:val="16"/>
                <w:szCs w:val="16"/>
                <w:lang w:val="cs-CZ"/>
              </w:rPr>
            </w:pPr>
            <w:proofErr w:type="spellStart"/>
            <w:r w:rsidRPr="00CC03D5">
              <w:rPr>
                <w:rFonts w:ascii="Arial" w:eastAsia="Arial" w:hAnsi="Arial" w:cs="Arial"/>
                <w:b/>
                <w:bCs/>
                <w:sz w:val="16"/>
                <w:szCs w:val="16"/>
                <w:lang w:val="cs-CZ"/>
              </w:rPr>
              <w:t>μg</w:t>
            </w:r>
            <w:proofErr w:type="spellEnd"/>
            <w:r w:rsidRPr="00CC03D5">
              <w:rPr>
                <w:rFonts w:ascii="Arial" w:eastAsia="Arial" w:hAnsi="Arial" w:cs="Arial"/>
                <w:b/>
                <w:bCs/>
                <w:sz w:val="16"/>
                <w:szCs w:val="16"/>
                <w:lang w:val="cs-CZ"/>
              </w:rPr>
              <w:t>/</w:t>
            </w:r>
            <w:r w:rsidRPr="00CC03D5">
              <w:rPr>
                <w:rFonts w:ascii="Arial" w:eastAsia="Arial" w:hAnsi="Arial" w:cs="Arial"/>
                <w:b/>
                <w:bCs/>
                <w:spacing w:val="-1"/>
                <w:sz w:val="16"/>
                <w:szCs w:val="16"/>
                <w:lang w:val="cs-CZ"/>
              </w:rPr>
              <w:t>kg</w:t>
            </w:r>
          </w:p>
        </w:tc>
        <w:tc>
          <w:tcPr>
            <w:tcW w:w="1480" w:type="dxa"/>
            <w:gridSpan w:val="2"/>
            <w:tcBorders>
              <w:bottom w:val="single" w:sz="4" w:space="0" w:color="auto"/>
            </w:tcBorders>
            <w:shd w:val="clear" w:color="auto" w:fill="CAFBA5"/>
            <w:vAlign w:val="center"/>
          </w:tcPr>
          <w:p w14:paraId="320664FB" w14:textId="77777777" w:rsidR="00170B66" w:rsidRPr="00CC03D5" w:rsidRDefault="00170B66" w:rsidP="000A162D">
            <w:pPr>
              <w:pStyle w:val="TableParagraph"/>
              <w:jc w:val="center"/>
              <w:rPr>
                <w:rFonts w:ascii="Arial" w:eastAsia="Arial" w:hAnsi="Arial" w:cs="Arial"/>
                <w:spacing w:val="-1"/>
                <w:sz w:val="16"/>
                <w:szCs w:val="16"/>
                <w:lang w:val="cs-CZ"/>
              </w:rPr>
            </w:pPr>
            <w:r w:rsidRPr="00CC03D5">
              <w:rPr>
                <w:rFonts w:ascii="Arial" w:eastAsia="Arial" w:hAnsi="Arial" w:cs="Arial"/>
                <w:b/>
                <w:bCs/>
                <w:spacing w:val="-1"/>
                <w:sz w:val="16"/>
                <w:szCs w:val="16"/>
                <w:lang w:val="cs-CZ"/>
              </w:rPr>
              <w:t>0</w:t>
            </w:r>
            <w:r w:rsidRPr="00CC03D5">
              <w:rPr>
                <w:rFonts w:ascii="Arial" w:eastAsia="Arial" w:hAnsi="Arial" w:cs="Arial"/>
                <w:b/>
                <w:bCs/>
                <w:sz w:val="16"/>
                <w:szCs w:val="16"/>
                <w:lang w:val="cs-CZ"/>
              </w:rPr>
              <w:t>,5</w:t>
            </w:r>
          </w:p>
        </w:tc>
        <w:tc>
          <w:tcPr>
            <w:tcW w:w="1752" w:type="dxa"/>
            <w:tcBorders>
              <w:bottom w:val="single" w:sz="4" w:space="0" w:color="auto"/>
            </w:tcBorders>
            <w:shd w:val="clear" w:color="auto" w:fill="CAFBA5"/>
            <w:vAlign w:val="center"/>
          </w:tcPr>
          <w:p w14:paraId="3A5CBB5D" w14:textId="77777777" w:rsidR="00170B66" w:rsidRPr="00CC03D5" w:rsidRDefault="00170B66" w:rsidP="000A162D">
            <w:pPr>
              <w:pStyle w:val="TableParagraph"/>
              <w:jc w:val="center"/>
              <w:rPr>
                <w:rFonts w:ascii="Arial" w:eastAsia="Arial" w:hAnsi="Arial" w:cs="Arial"/>
                <w:sz w:val="16"/>
                <w:szCs w:val="16"/>
                <w:lang w:val="cs-CZ"/>
              </w:rPr>
            </w:pPr>
            <w:r w:rsidRPr="00CC03D5">
              <w:rPr>
                <w:rFonts w:ascii="Arial" w:eastAsia="Arial" w:hAnsi="Arial" w:cs="Arial"/>
                <w:spacing w:val="-1"/>
                <w:sz w:val="16"/>
                <w:szCs w:val="16"/>
                <w:lang w:val="cs-CZ"/>
              </w:rPr>
              <w:t>GÜ</w:t>
            </w:r>
            <w:r w:rsidRPr="00CC03D5">
              <w:rPr>
                <w:rFonts w:ascii="Arial" w:eastAsia="Arial" w:hAnsi="Arial" w:cs="Arial"/>
                <w:sz w:val="16"/>
                <w:szCs w:val="16"/>
                <w:lang w:val="cs-CZ"/>
              </w:rPr>
              <w:t>B</w:t>
            </w:r>
            <w:r w:rsidRPr="00CC03D5">
              <w:rPr>
                <w:rFonts w:ascii="Arial" w:eastAsia="Arial" w:hAnsi="Arial" w:cs="Arial"/>
                <w:spacing w:val="-2"/>
                <w:sz w:val="16"/>
                <w:szCs w:val="16"/>
                <w:lang w:val="cs-CZ"/>
              </w:rPr>
              <w:t>AK</w:t>
            </w:r>
          </w:p>
        </w:tc>
        <w:tc>
          <w:tcPr>
            <w:tcW w:w="2694" w:type="dxa"/>
            <w:tcBorders>
              <w:bottom w:val="single" w:sz="4" w:space="0" w:color="auto"/>
            </w:tcBorders>
            <w:shd w:val="clear" w:color="auto" w:fill="CAFBA5"/>
            <w:vAlign w:val="center"/>
          </w:tcPr>
          <w:p w14:paraId="128CB1E2" w14:textId="77777777" w:rsidR="00170B66" w:rsidRPr="00CC03D5" w:rsidRDefault="00170B66" w:rsidP="000A162D">
            <w:pPr>
              <w:pStyle w:val="TableParagraph"/>
              <w:jc w:val="center"/>
              <w:rPr>
                <w:rFonts w:ascii="Arial" w:eastAsia="Calibri" w:hAnsi="Arial" w:cs="Arial"/>
                <w:sz w:val="16"/>
                <w:szCs w:val="16"/>
                <w:lang w:val="cs-CZ"/>
              </w:rPr>
            </w:pPr>
            <w:r w:rsidRPr="00CC03D5">
              <w:rPr>
                <w:rFonts w:ascii="Arial" w:hAnsi="Arial" w:cs="Arial"/>
                <w:spacing w:val="-1"/>
                <w:sz w:val="16"/>
                <w:szCs w:val="16"/>
                <w:lang w:val="cs-CZ"/>
              </w:rPr>
              <w:t>FGG Elbe 2013 / IKSE 2014</w:t>
            </w:r>
          </w:p>
        </w:tc>
        <w:tc>
          <w:tcPr>
            <w:tcW w:w="1559" w:type="dxa"/>
            <w:gridSpan w:val="2"/>
            <w:tcBorders>
              <w:bottom w:val="single" w:sz="4" w:space="0" w:color="auto"/>
            </w:tcBorders>
            <w:shd w:val="clear" w:color="auto" w:fill="F7CAAC" w:themeFill="accent2" w:themeFillTint="66"/>
            <w:vAlign w:val="center"/>
          </w:tcPr>
          <w:p w14:paraId="3A90EF70" w14:textId="77777777" w:rsidR="00170B66" w:rsidRPr="00CC03D5" w:rsidRDefault="00170B66" w:rsidP="000A162D">
            <w:pPr>
              <w:pStyle w:val="TableParagraph"/>
              <w:jc w:val="center"/>
              <w:rPr>
                <w:rFonts w:ascii="Arial" w:eastAsia="Arial" w:hAnsi="Arial" w:cs="Arial"/>
                <w:spacing w:val="-1"/>
                <w:sz w:val="16"/>
                <w:szCs w:val="16"/>
                <w:lang w:val="cs-CZ"/>
              </w:rPr>
            </w:pPr>
            <w:r w:rsidRPr="00CC03D5">
              <w:rPr>
                <w:rFonts w:ascii="Arial" w:eastAsia="Arial" w:hAnsi="Arial" w:cs="Arial"/>
                <w:b/>
                <w:bCs/>
                <w:spacing w:val="-1"/>
                <w:sz w:val="16"/>
                <w:szCs w:val="16"/>
                <w:lang w:val="cs-CZ"/>
              </w:rPr>
              <w:t>1</w:t>
            </w:r>
            <w:r w:rsidRPr="00CC03D5">
              <w:rPr>
                <w:rFonts w:ascii="Arial" w:eastAsia="Arial" w:hAnsi="Arial" w:cs="Arial"/>
                <w:b/>
                <w:bCs/>
                <w:sz w:val="16"/>
                <w:szCs w:val="16"/>
                <w:lang w:val="cs-CZ"/>
              </w:rPr>
              <w:t>,5</w:t>
            </w:r>
          </w:p>
        </w:tc>
        <w:tc>
          <w:tcPr>
            <w:tcW w:w="1559" w:type="dxa"/>
            <w:tcBorders>
              <w:bottom w:val="single" w:sz="4" w:space="0" w:color="auto"/>
            </w:tcBorders>
            <w:shd w:val="clear" w:color="auto" w:fill="F7CAAC" w:themeFill="accent2" w:themeFillTint="66"/>
            <w:vAlign w:val="center"/>
          </w:tcPr>
          <w:p w14:paraId="653E6856" w14:textId="77777777" w:rsidR="00170B66" w:rsidRPr="00CC03D5" w:rsidRDefault="00170B66" w:rsidP="000A162D">
            <w:pPr>
              <w:pStyle w:val="TableParagraph"/>
              <w:jc w:val="center"/>
              <w:rPr>
                <w:rFonts w:ascii="Arial" w:eastAsia="Arial" w:hAnsi="Arial" w:cs="Arial"/>
                <w:sz w:val="16"/>
                <w:szCs w:val="16"/>
                <w:lang w:val="cs-CZ"/>
              </w:rPr>
            </w:pPr>
            <w:r w:rsidRPr="00CC03D5">
              <w:rPr>
                <w:rFonts w:ascii="Arial" w:eastAsia="Arial" w:hAnsi="Arial" w:cs="Arial"/>
                <w:spacing w:val="-1"/>
                <w:sz w:val="16"/>
                <w:szCs w:val="16"/>
                <w:lang w:val="cs-CZ"/>
              </w:rPr>
              <w:t>GÜ</w:t>
            </w:r>
            <w:r w:rsidRPr="00CC03D5">
              <w:rPr>
                <w:rFonts w:ascii="Arial" w:eastAsia="Arial" w:hAnsi="Arial" w:cs="Arial"/>
                <w:sz w:val="16"/>
                <w:szCs w:val="16"/>
                <w:lang w:val="cs-CZ"/>
              </w:rPr>
              <w:t>B</w:t>
            </w:r>
            <w:r w:rsidRPr="00CC03D5">
              <w:rPr>
                <w:rFonts w:ascii="Arial" w:eastAsia="Arial" w:hAnsi="Arial" w:cs="Arial"/>
                <w:spacing w:val="-2"/>
                <w:sz w:val="16"/>
                <w:szCs w:val="16"/>
                <w:lang w:val="cs-CZ"/>
              </w:rPr>
              <w:t>AK</w:t>
            </w:r>
          </w:p>
        </w:tc>
        <w:tc>
          <w:tcPr>
            <w:tcW w:w="2552" w:type="dxa"/>
            <w:tcBorders>
              <w:bottom w:val="single" w:sz="4" w:space="0" w:color="auto"/>
            </w:tcBorders>
            <w:shd w:val="clear" w:color="auto" w:fill="F7CAAC" w:themeFill="accent2" w:themeFillTint="66"/>
            <w:vAlign w:val="center"/>
          </w:tcPr>
          <w:p w14:paraId="2635A47A" w14:textId="77777777" w:rsidR="00170B66" w:rsidRPr="00CC03D5" w:rsidRDefault="00170B66" w:rsidP="000A162D">
            <w:pPr>
              <w:pStyle w:val="TableParagraph"/>
              <w:jc w:val="center"/>
              <w:rPr>
                <w:rFonts w:ascii="Arial" w:eastAsia="Calibri" w:hAnsi="Arial" w:cs="Arial"/>
                <w:sz w:val="16"/>
                <w:szCs w:val="16"/>
                <w:lang w:val="cs-CZ"/>
              </w:rPr>
            </w:pPr>
            <w:r w:rsidRPr="00CC03D5">
              <w:rPr>
                <w:rFonts w:ascii="Arial" w:hAnsi="Arial" w:cs="Arial"/>
                <w:spacing w:val="-1"/>
                <w:sz w:val="16"/>
                <w:szCs w:val="16"/>
                <w:lang w:val="cs-CZ"/>
              </w:rPr>
              <w:t>FGG Elbe 2013 / IKSE 2014</w:t>
            </w:r>
          </w:p>
        </w:tc>
      </w:tr>
      <w:tr w:rsidR="00170B66" w:rsidRPr="00CC03D5" w14:paraId="012EA6A2" w14:textId="77777777" w:rsidTr="00733615">
        <w:trPr>
          <w:cantSplit/>
        </w:trPr>
        <w:tc>
          <w:tcPr>
            <w:tcW w:w="0" w:type="auto"/>
            <w:shd w:val="clear" w:color="auto" w:fill="D9D9D9" w:themeFill="background1" w:themeFillShade="D9"/>
            <w:vAlign w:val="center"/>
          </w:tcPr>
          <w:p w14:paraId="0A04DB8E" w14:textId="77777777" w:rsidR="00170B66" w:rsidRPr="00CC03D5" w:rsidRDefault="00170B66" w:rsidP="000A162D">
            <w:pPr>
              <w:pStyle w:val="TableParagraph"/>
              <w:jc w:val="center"/>
              <w:rPr>
                <w:rFonts w:ascii="Arial" w:eastAsia="Arial" w:hAnsi="Arial" w:cs="Arial"/>
                <w:sz w:val="16"/>
                <w:szCs w:val="16"/>
                <w:lang w:val="cs-CZ"/>
              </w:rPr>
            </w:pPr>
            <w:r w:rsidRPr="00CC03D5">
              <w:rPr>
                <w:rFonts w:ascii="Arial" w:eastAsia="Arial" w:hAnsi="Arial" w:cs="Arial"/>
                <w:b/>
                <w:bCs/>
                <w:spacing w:val="-1"/>
                <w:sz w:val="16"/>
                <w:szCs w:val="16"/>
                <w:lang w:val="cs-CZ"/>
              </w:rPr>
              <w:t>10</w:t>
            </w:r>
          </w:p>
        </w:tc>
        <w:tc>
          <w:tcPr>
            <w:tcW w:w="1168" w:type="dxa"/>
            <w:shd w:val="clear" w:color="auto" w:fill="D9D9D9" w:themeFill="background1" w:themeFillShade="D9"/>
            <w:vAlign w:val="center"/>
          </w:tcPr>
          <w:p w14:paraId="776781F7" w14:textId="77777777" w:rsidR="00170B66" w:rsidRPr="00CC03D5" w:rsidRDefault="00170B66" w:rsidP="000A162D">
            <w:pPr>
              <w:pStyle w:val="TableParagraph"/>
              <w:rPr>
                <w:rFonts w:ascii="Arial" w:eastAsia="Arial" w:hAnsi="Arial" w:cs="Arial"/>
                <w:sz w:val="16"/>
                <w:szCs w:val="16"/>
                <w:lang w:val="cs-CZ"/>
              </w:rPr>
            </w:pPr>
            <w:r w:rsidRPr="00CC03D5">
              <w:rPr>
                <w:rFonts w:ascii="Arial" w:eastAsia="Arial" w:hAnsi="Arial" w:cs="Arial"/>
                <w:b/>
                <w:bCs/>
                <w:sz w:val="16"/>
                <w:szCs w:val="16"/>
                <w:lang w:val="cs-CZ"/>
              </w:rPr>
              <w:t>β</w:t>
            </w:r>
            <w:r w:rsidR="00482DF3" w:rsidRPr="00CC03D5">
              <w:rPr>
                <w:rFonts w:ascii="Arial" w:eastAsia="Arial" w:hAnsi="Arial" w:cs="Arial"/>
                <w:b/>
                <w:bCs/>
                <w:spacing w:val="-1"/>
                <w:sz w:val="16"/>
                <w:szCs w:val="16"/>
                <w:lang w:val="cs-CZ"/>
              </w:rPr>
              <w:t>-</w:t>
            </w:r>
            <w:r w:rsidRPr="00CC03D5">
              <w:rPr>
                <w:rFonts w:ascii="Arial" w:eastAsia="Arial" w:hAnsi="Arial" w:cs="Arial"/>
                <w:b/>
                <w:bCs/>
                <w:spacing w:val="-1"/>
                <w:sz w:val="16"/>
                <w:szCs w:val="16"/>
                <w:lang w:val="cs-CZ"/>
              </w:rPr>
              <w:t>HCH</w:t>
            </w:r>
          </w:p>
        </w:tc>
        <w:tc>
          <w:tcPr>
            <w:tcW w:w="828" w:type="dxa"/>
            <w:shd w:val="clear" w:color="auto" w:fill="D9D9D9" w:themeFill="background1" w:themeFillShade="D9"/>
            <w:vAlign w:val="center"/>
          </w:tcPr>
          <w:p w14:paraId="58F1E773" w14:textId="77777777" w:rsidR="00170B66" w:rsidRPr="00CC03D5" w:rsidRDefault="00170B66" w:rsidP="000A162D">
            <w:pPr>
              <w:pStyle w:val="TableParagraph"/>
              <w:jc w:val="center"/>
              <w:rPr>
                <w:rFonts w:ascii="Arial" w:eastAsia="Arial" w:hAnsi="Arial" w:cs="Arial"/>
                <w:sz w:val="16"/>
                <w:szCs w:val="16"/>
                <w:lang w:val="cs-CZ"/>
              </w:rPr>
            </w:pPr>
            <w:proofErr w:type="spellStart"/>
            <w:r w:rsidRPr="00CC03D5">
              <w:rPr>
                <w:rFonts w:ascii="Arial" w:eastAsia="Arial" w:hAnsi="Arial" w:cs="Arial"/>
                <w:b/>
                <w:bCs/>
                <w:sz w:val="16"/>
                <w:szCs w:val="16"/>
                <w:lang w:val="cs-CZ"/>
              </w:rPr>
              <w:t>μg</w:t>
            </w:r>
            <w:proofErr w:type="spellEnd"/>
            <w:r w:rsidRPr="00CC03D5">
              <w:rPr>
                <w:rFonts w:ascii="Arial" w:eastAsia="Arial" w:hAnsi="Arial" w:cs="Arial"/>
                <w:b/>
                <w:bCs/>
                <w:sz w:val="16"/>
                <w:szCs w:val="16"/>
                <w:lang w:val="cs-CZ"/>
              </w:rPr>
              <w:t>/</w:t>
            </w:r>
            <w:r w:rsidRPr="00CC03D5">
              <w:rPr>
                <w:rFonts w:ascii="Arial" w:eastAsia="Arial" w:hAnsi="Arial" w:cs="Arial"/>
                <w:b/>
                <w:bCs/>
                <w:spacing w:val="-1"/>
                <w:sz w:val="16"/>
                <w:szCs w:val="16"/>
                <w:lang w:val="cs-CZ"/>
              </w:rPr>
              <w:t>kg</w:t>
            </w:r>
          </w:p>
        </w:tc>
        <w:tc>
          <w:tcPr>
            <w:tcW w:w="1480" w:type="dxa"/>
            <w:gridSpan w:val="2"/>
            <w:tcBorders>
              <w:bottom w:val="single" w:sz="4" w:space="0" w:color="auto"/>
            </w:tcBorders>
            <w:shd w:val="clear" w:color="auto" w:fill="D9D9D9" w:themeFill="background1" w:themeFillShade="D9"/>
            <w:vAlign w:val="center"/>
          </w:tcPr>
          <w:p w14:paraId="53491765" w14:textId="77777777" w:rsidR="00170B66" w:rsidRPr="00CC03D5" w:rsidRDefault="00170B66" w:rsidP="000A162D">
            <w:pPr>
              <w:pStyle w:val="TableParagraph"/>
              <w:jc w:val="center"/>
              <w:rPr>
                <w:rFonts w:ascii="Arial" w:eastAsia="Arial" w:hAnsi="Arial" w:cs="Arial"/>
                <w:spacing w:val="-1"/>
                <w:sz w:val="16"/>
                <w:szCs w:val="16"/>
                <w:lang w:val="cs-CZ"/>
              </w:rPr>
            </w:pPr>
            <w:r w:rsidRPr="00CC03D5">
              <w:rPr>
                <w:rFonts w:ascii="Arial" w:eastAsia="Arial" w:hAnsi="Arial" w:cs="Arial"/>
                <w:b/>
                <w:bCs/>
                <w:sz w:val="16"/>
                <w:szCs w:val="16"/>
                <w:lang w:val="cs-CZ"/>
              </w:rPr>
              <w:t>5</w:t>
            </w:r>
          </w:p>
        </w:tc>
        <w:tc>
          <w:tcPr>
            <w:tcW w:w="1752" w:type="dxa"/>
            <w:tcBorders>
              <w:bottom w:val="single" w:sz="4" w:space="0" w:color="auto"/>
            </w:tcBorders>
            <w:shd w:val="clear" w:color="auto" w:fill="D9D9D9" w:themeFill="background1" w:themeFillShade="D9"/>
            <w:vAlign w:val="center"/>
          </w:tcPr>
          <w:p w14:paraId="361357C2" w14:textId="77777777" w:rsidR="00170B66" w:rsidRPr="00CC03D5" w:rsidRDefault="00170B66" w:rsidP="000A162D">
            <w:pPr>
              <w:pStyle w:val="TableParagraph"/>
              <w:jc w:val="center"/>
              <w:rPr>
                <w:rFonts w:ascii="Arial" w:eastAsia="Arial" w:hAnsi="Arial" w:cs="Arial"/>
                <w:sz w:val="16"/>
                <w:szCs w:val="16"/>
                <w:lang w:val="cs-CZ"/>
              </w:rPr>
            </w:pPr>
            <w:proofErr w:type="spellStart"/>
            <w:r w:rsidRPr="00CC03D5">
              <w:rPr>
                <w:rFonts w:ascii="Arial" w:eastAsia="Arial" w:hAnsi="Arial" w:cs="Arial"/>
                <w:spacing w:val="-1"/>
                <w:sz w:val="16"/>
                <w:szCs w:val="16"/>
                <w:lang w:val="cs-CZ"/>
              </w:rPr>
              <w:t>RH</w:t>
            </w:r>
            <w:r w:rsidRPr="00CC03D5">
              <w:rPr>
                <w:rFonts w:ascii="Arial" w:eastAsia="Arial" w:hAnsi="Arial" w:cs="Arial"/>
                <w:sz w:val="16"/>
                <w:szCs w:val="16"/>
                <w:lang w:val="cs-CZ"/>
              </w:rPr>
              <w:t>mV</w:t>
            </w:r>
            <w:proofErr w:type="spellEnd"/>
          </w:p>
        </w:tc>
        <w:tc>
          <w:tcPr>
            <w:tcW w:w="2694" w:type="dxa"/>
            <w:tcBorders>
              <w:bottom w:val="single" w:sz="4" w:space="0" w:color="auto"/>
            </w:tcBorders>
            <w:shd w:val="clear" w:color="auto" w:fill="D9D9D9" w:themeFill="background1" w:themeFillShade="D9"/>
            <w:vAlign w:val="center"/>
          </w:tcPr>
          <w:p w14:paraId="1F1A6DB1" w14:textId="77777777" w:rsidR="00170B66" w:rsidRPr="00CC03D5" w:rsidRDefault="00170B66" w:rsidP="000A162D">
            <w:pPr>
              <w:pStyle w:val="TableParagraph"/>
              <w:jc w:val="center"/>
              <w:rPr>
                <w:rFonts w:ascii="Arial" w:eastAsia="Calibri" w:hAnsi="Arial" w:cs="Arial"/>
                <w:sz w:val="16"/>
                <w:szCs w:val="16"/>
                <w:lang w:val="cs-CZ"/>
              </w:rPr>
            </w:pPr>
            <w:r w:rsidRPr="00CC03D5">
              <w:rPr>
                <w:rFonts w:ascii="Arial" w:hAnsi="Arial" w:cs="Arial"/>
                <w:spacing w:val="-1"/>
                <w:sz w:val="16"/>
                <w:szCs w:val="16"/>
                <w:lang w:val="cs-CZ"/>
              </w:rPr>
              <w:t>FGG Elbe 2013 / IKSE 2014</w:t>
            </w:r>
          </w:p>
        </w:tc>
        <w:tc>
          <w:tcPr>
            <w:tcW w:w="1559" w:type="dxa"/>
            <w:gridSpan w:val="2"/>
            <w:tcBorders>
              <w:bottom w:val="single" w:sz="4" w:space="0" w:color="auto"/>
            </w:tcBorders>
            <w:shd w:val="clear" w:color="auto" w:fill="D9D9D9" w:themeFill="background1" w:themeFillShade="D9"/>
            <w:vAlign w:val="center"/>
          </w:tcPr>
          <w:p w14:paraId="53EEEC54" w14:textId="77777777" w:rsidR="00170B66" w:rsidRPr="00CC03D5" w:rsidRDefault="00170B66" w:rsidP="000A162D">
            <w:pPr>
              <w:pStyle w:val="TableParagraph"/>
              <w:jc w:val="center"/>
              <w:rPr>
                <w:rFonts w:ascii="Arial" w:eastAsia="Arial" w:hAnsi="Arial" w:cs="Arial"/>
                <w:spacing w:val="-1"/>
                <w:sz w:val="16"/>
                <w:szCs w:val="16"/>
                <w:lang w:val="cs-CZ"/>
              </w:rPr>
            </w:pPr>
            <w:r w:rsidRPr="00CC03D5">
              <w:rPr>
                <w:rFonts w:ascii="Arial" w:eastAsia="Arial" w:hAnsi="Arial" w:cs="Arial"/>
                <w:b/>
                <w:bCs/>
                <w:sz w:val="16"/>
                <w:szCs w:val="16"/>
                <w:lang w:val="cs-CZ"/>
              </w:rPr>
              <w:t>5</w:t>
            </w:r>
          </w:p>
        </w:tc>
        <w:tc>
          <w:tcPr>
            <w:tcW w:w="1559" w:type="dxa"/>
            <w:tcBorders>
              <w:bottom w:val="single" w:sz="4" w:space="0" w:color="auto"/>
            </w:tcBorders>
            <w:shd w:val="clear" w:color="auto" w:fill="D9D9D9" w:themeFill="background1" w:themeFillShade="D9"/>
            <w:vAlign w:val="center"/>
          </w:tcPr>
          <w:p w14:paraId="0FED21DE" w14:textId="77777777" w:rsidR="00170B66" w:rsidRPr="00CC03D5" w:rsidRDefault="00170B66" w:rsidP="000A162D">
            <w:pPr>
              <w:pStyle w:val="TableParagraph"/>
              <w:jc w:val="center"/>
              <w:rPr>
                <w:rFonts w:ascii="Arial" w:eastAsia="Arial" w:hAnsi="Arial" w:cs="Arial"/>
                <w:sz w:val="16"/>
                <w:szCs w:val="16"/>
                <w:lang w:val="cs-CZ"/>
              </w:rPr>
            </w:pPr>
            <w:proofErr w:type="spellStart"/>
            <w:r w:rsidRPr="00CC03D5">
              <w:rPr>
                <w:rFonts w:ascii="Arial" w:eastAsia="Arial" w:hAnsi="Arial" w:cs="Arial"/>
                <w:spacing w:val="-1"/>
                <w:sz w:val="16"/>
                <w:szCs w:val="16"/>
                <w:lang w:val="cs-CZ"/>
              </w:rPr>
              <w:t>RH</w:t>
            </w:r>
            <w:r w:rsidRPr="00CC03D5">
              <w:rPr>
                <w:rFonts w:ascii="Arial" w:eastAsia="Arial" w:hAnsi="Arial" w:cs="Arial"/>
                <w:sz w:val="16"/>
                <w:szCs w:val="16"/>
                <w:lang w:val="cs-CZ"/>
              </w:rPr>
              <w:t>mV</w:t>
            </w:r>
            <w:proofErr w:type="spellEnd"/>
          </w:p>
        </w:tc>
        <w:tc>
          <w:tcPr>
            <w:tcW w:w="2552" w:type="dxa"/>
            <w:tcBorders>
              <w:bottom w:val="single" w:sz="4" w:space="0" w:color="auto"/>
            </w:tcBorders>
            <w:shd w:val="clear" w:color="auto" w:fill="D9D9D9" w:themeFill="background1" w:themeFillShade="D9"/>
            <w:vAlign w:val="center"/>
          </w:tcPr>
          <w:p w14:paraId="173902D7" w14:textId="77777777" w:rsidR="00170B66" w:rsidRPr="00CC03D5" w:rsidRDefault="00170B66" w:rsidP="000A162D">
            <w:pPr>
              <w:pStyle w:val="TableParagraph"/>
              <w:jc w:val="center"/>
              <w:rPr>
                <w:rFonts w:ascii="Arial" w:eastAsia="Calibri" w:hAnsi="Arial" w:cs="Arial"/>
                <w:sz w:val="16"/>
                <w:szCs w:val="16"/>
                <w:lang w:val="cs-CZ"/>
              </w:rPr>
            </w:pPr>
            <w:r w:rsidRPr="00CC03D5">
              <w:rPr>
                <w:rFonts w:ascii="Arial" w:hAnsi="Arial" w:cs="Arial"/>
                <w:spacing w:val="-1"/>
                <w:sz w:val="16"/>
                <w:szCs w:val="16"/>
                <w:lang w:val="cs-CZ"/>
              </w:rPr>
              <w:t>FGG Elbe 2013 / IKSE 2014</w:t>
            </w:r>
          </w:p>
        </w:tc>
      </w:tr>
      <w:tr w:rsidR="00170B66" w:rsidRPr="00CC03D5" w14:paraId="0AB6351F" w14:textId="77777777" w:rsidTr="00733615">
        <w:trPr>
          <w:cantSplit/>
        </w:trPr>
        <w:tc>
          <w:tcPr>
            <w:tcW w:w="0" w:type="auto"/>
            <w:tcBorders>
              <w:bottom w:val="single" w:sz="4" w:space="0" w:color="auto"/>
            </w:tcBorders>
            <w:vAlign w:val="center"/>
          </w:tcPr>
          <w:p w14:paraId="75BB54FD" w14:textId="77777777" w:rsidR="00170B66" w:rsidRPr="00CC03D5" w:rsidRDefault="00170B66" w:rsidP="000A162D">
            <w:pPr>
              <w:pStyle w:val="TableParagraph"/>
              <w:jc w:val="center"/>
              <w:rPr>
                <w:rFonts w:ascii="Arial" w:eastAsia="Arial" w:hAnsi="Arial" w:cs="Arial"/>
                <w:sz w:val="16"/>
                <w:szCs w:val="16"/>
                <w:lang w:val="cs-CZ"/>
              </w:rPr>
            </w:pPr>
            <w:r w:rsidRPr="00CC03D5">
              <w:rPr>
                <w:rFonts w:ascii="Arial" w:eastAsia="Arial" w:hAnsi="Arial" w:cs="Arial"/>
                <w:b/>
                <w:bCs/>
                <w:spacing w:val="-1"/>
                <w:sz w:val="16"/>
                <w:szCs w:val="16"/>
                <w:lang w:val="cs-CZ"/>
              </w:rPr>
              <w:t>11</w:t>
            </w:r>
          </w:p>
        </w:tc>
        <w:tc>
          <w:tcPr>
            <w:tcW w:w="1168" w:type="dxa"/>
            <w:tcBorders>
              <w:bottom w:val="single" w:sz="4" w:space="0" w:color="auto"/>
            </w:tcBorders>
            <w:vAlign w:val="center"/>
          </w:tcPr>
          <w:p w14:paraId="2EB85A55" w14:textId="77777777" w:rsidR="00170B66" w:rsidRPr="00CC03D5" w:rsidRDefault="00170B66" w:rsidP="000A162D">
            <w:pPr>
              <w:pStyle w:val="TableParagraph"/>
              <w:rPr>
                <w:rFonts w:ascii="Arial" w:eastAsia="Arial" w:hAnsi="Arial" w:cs="Arial"/>
                <w:sz w:val="16"/>
                <w:szCs w:val="16"/>
                <w:lang w:val="cs-CZ"/>
              </w:rPr>
            </w:pPr>
            <w:r w:rsidRPr="00CC03D5">
              <w:rPr>
                <w:rFonts w:ascii="Arial" w:eastAsia="Arial" w:hAnsi="Arial" w:cs="Arial"/>
                <w:b/>
                <w:bCs/>
                <w:spacing w:val="-1"/>
                <w:sz w:val="16"/>
                <w:szCs w:val="16"/>
                <w:lang w:val="cs-CZ"/>
              </w:rPr>
              <w:t>γ-HCH</w:t>
            </w:r>
          </w:p>
        </w:tc>
        <w:tc>
          <w:tcPr>
            <w:tcW w:w="828" w:type="dxa"/>
            <w:tcBorders>
              <w:bottom w:val="single" w:sz="4" w:space="0" w:color="auto"/>
            </w:tcBorders>
            <w:vAlign w:val="center"/>
          </w:tcPr>
          <w:p w14:paraId="716E4DF6" w14:textId="77777777" w:rsidR="00170B66" w:rsidRPr="00CC03D5" w:rsidRDefault="00170B66" w:rsidP="000A162D">
            <w:pPr>
              <w:pStyle w:val="TableParagraph"/>
              <w:jc w:val="center"/>
              <w:rPr>
                <w:rFonts w:ascii="Arial" w:eastAsia="Arial" w:hAnsi="Arial" w:cs="Arial"/>
                <w:sz w:val="16"/>
                <w:szCs w:val="16"/>
                <w:lang w:val="cs-CZ"/>
              </w:rPr>
            </w:pPr>
            <w:proofErr w:type="spellStart"/>
            <w:r w:rsidRPr="00CC03D5">
              <w:rPr>
                <w:rFonts w:ascii="Arial" w:eastAsia="Arial" w:hAnsi="Arial" w:cs="Arial"/>
                <w:b/>
                <w:bCs/>
                <w:sz w:val="16"/>
                <w:szCs w:val="16"/>
                <w:lang w:val="cs-CZ"/>
              </w:rPr>
              <w:t>μg</w:t>
            </w:r>
            <w:proofErr w:type="spellEnd"/>
            <w:r w:rsidRPr="00CC03D5">
              <w:rPr>
                <w:rFonts w:ascii="Arial" w:eastAsia="Arial" w:hAnsi="Arial" w:cs="Arial"/>
                <w:b/>
                <w:bCs/>
                <w:sz w:val="16"/>
                <w:szCs w:val="16"/>
                <w:lang w:val="cs-CZ"/>
              </w:rPr>
              <w:t>/</w:t>
            </w:r>
            <w:r w:rsidRPr="00CC03D5">
              <w:rPr>
                <w:rFonts w:ascii="Arial" w:eastAsia="Arial" w:hAnsi="Arial" w:cs="Arial"/>
                <w:b/>
                <w:bCs/>
                <w:spacing w:val="-1"/>
                <w:sz w:val="16"/>
                <w:szCs w:val="16"/>
                <w:lang w:val="cs-CZ"/>
              </w:rPr>
              <w:t>kg</w:t>
            </w:r>
          </w:p>
        </w:tc>
        <w:tc>
          <w:tcPr>
            <w:tcW w:w="1480" w:type="dxa"/>
            <w:gridSpan w:val="2"/>
            <w:tcBorders>
              <w:bottom w:val="single" w:sz="4" w:space="0" w:color="auto"/>
            </w:tcBorders>
            <w:shd w:val="clear" w:color="auto" w:fill="CAFBA5"/>
            <w:vAlign w:val="center"/>
          </w:tcPr>
          <w:p w14:paraId="2FB1C377" w14:textId="77777777" w:rsidR="00170B66" w:rsidRPr="00CC03D5" w:rsidRDefault="00170B66" w:rsidP="000A162D">
            <w:pPr>
              <w:pStyle w:val="TableParagraph"/>
              <w:jc w:val="center"/>
              <w:rPr>
                <w:rFonts w:ascii="Arial" w:eastAsia="Arial" w:hAnsi="Arial" w:cs="Arial"/>
                <w:spacing w:val="-1"/>
                <w:sz w:val="16"/>
                <w:szCs w:val="16"/>
                <w:lang w:val="cs-CZ"/>
              </w:rPr>
            </w:pPr>
            <w:r w:rsidRPr="00CC03D5">
              <w:rPr>
                <w:rFonts w:ascii="Arial" w:eastAsia="Arial" w:hAnsi="Arial" w:cs="Arial"/>
                <w:b/>
                <w:bCs/>
                <w:spacing w:val="-1"/>
                <w:sz w:val="16"/>
                <w:szCs w:val="16"/>
                <w:lang w:val="cs-CZ"/>
              </w:rPr>
              <w:t>0</w:t>
            </w:r>
            <w:r w:rsidRPr="00CC03D5">
              <w:rPr>
                <w:rFonts w:ascii="Arial" w:eastAsia="Arial" w:hAnsi="Arial" w:cs="Arial"/>
                <w:b/>
                <w:bCs/>
                <w:sz w:val="16"/>
                <w:szCs w:val="16"/>
                <w:lang w:val="cs-CZ"/>
              </w:rPr>
              <w:t>,5</w:t>
            </w:r>
          </w:p>
        </w:tc>
        <w:tc>
          <w:tcPr>
            <w:tcW w:w="1752" w:type="dxa"/>
            <w:tcBorders>
              <w:bottom w:val="single" w:sz="4" w:space="0" w:color="auto"/>
            </w:tcBorders>
            <w:shd w:val="clear" w:color="auto" w:fill="CAFBA5"/>
            <w:vAlign w:val="center"/>
          </w:tcPr>
          <w:p w14:paraId="51A471B0" w14:textId="77777777" w:rsidR="00170B66" w:rsidRPr="00CC03D5" w:rsidRDefault="00170B66" w:rsidP="000A162D">
            <w:pPr>
              <w:pStyle w:val="TableParagraph"/>
              <w:jc w:val="center"/>
              <w:rPr>
                <w:rFonts w:ascii="Arial" w:eastAsia="Arial" w:hAnsi="Arial" w:cs="Arial"/>
                <w:sz w:val="16"/>
                <w:szCs w:val="16"/>
                <w:lang w:val="cs-CZ"/>
              </w:rPr>
            </w:pPr>
            <w:r w:rsidRPr="00CC03D5">
              <w:rPr>
                <w:rFonts w:ascii="Arial" w:eastAsia="Arial" w:hAnsi="Arial" w:cs="Arial"/>
                <w:spacing w:val="-1"/>
                <w:sz w:val="16"/>
                <w:szCs w:val="16"/>
                <w:lang w:val="cs-CZ"/>
              </w:rPr>
              <w:t>GÜ</w:t>
            </w:r>
            <w:r w:rsidRPr="00CC03D5">
              <w:rPr>
                <w:rFonts w:ascii="Arial" w:eastAsia="Arial" w:hAnsi="Arial" w:cs="Arial"/>
                <w:sz w:val="16"/>
                <w:szCs w:val="16"/>
                <w:lang w:val="cs-CZ"/>
              </w:rPr>
              <w:t>B</w:t>
            </w:r>
            <w:r w:rsidRPr="00CC03D5">
              <w:rPr>
                <w:rFonts w:ascii="Arial" w:eastAsia="Arial" w:hAnsi="Arial" w:cs="Arial"/>
                <w:spacing w:val="-2"/>
                <w:sz w:val="16"/>
                <w:szCs w:val="16"/>
                <w:lang w:val="cs-CZ"/>
              </w:rPr>
              <w:t>AK</w:t>
            </w:r>
          </w:p>
        </w:tc>
        <w:tc>
          <w:tcPr>
            <w:tcW w:w="2694" w:type="dxa"/>
            <w:tcBorders>
              <w:bottom w:val="single" w:sz="4" w:space="0" w:color="auto"/>
            </w:tcBorders>
            <w:shd w:val="clear" w:color="auto" w:fill="CAFBA5"/>
            <w:vAlign w:val="center"/>
          </w:tcPr>
          <w:p w14:paraId="2CAA5564" w14:textId="77777777" w:rsidR="00170B66" w:rsidRPr="00CC03D5" w:rsidRDefault="00170B66" w:rsidP="000A162D">
            <w:pPr>
              <w:pStyle w:val="TableParagraph"/>
              <w:jc w:val="center"/>
              <w:rPr>
                <w:rFonts w:ascii="Arial" w:eastAsia="Calibri" w:hAnsi="Arial" w:cs="Arial"/>
                <w:sz w:val="16"/>
                <w:szCs w:val="16"/>
                <w:lang w:val="cs-CZ"/>
              </w:rPr>
            </w:pPr>
            <w:r w:rsidRPr="00CC03D5">
              <w:rPr>
                <w:rFonts w:ascii="Arial" w:hAnsi="Arial" w:cs="Arial"/>
                <w:spacing w:val="-1"/>
                <w:sz w:val="16"/>
                <w:szCs w:val="16"/>
                <w:lang w:val="cs-CZ"/>
              </w:rPr>
              <w:t>FGG Elbe 2013 / IKSE 2014</w:t>
            </w:r>
          </w:p>
        </w:tc>
        <w:tc>
          <w:tcPr>
            <w:tcW w:w="1559" w:type="dxa"/>
            <w:gridSpan w:val="2"/>
            <w:tcBorders>
              <w:bottom w:val="single" w:sz="4" w:space="0" w:color="auto"/>
            </w:tcBorders>
            <w:shd w:val="clear" w:color="auto" w:fill="F7CAAC" w:themeFill="accent2" w:themeFillTint="66"/>
            <w:vAlign w:val="center"/>
          </w:tcPr>
          <w:p w14:paraId="1D9A98C0" w14:textId="77777777" w:rsidR="00170B66" w:rsidRPr="00CC03D5" w:rsidRDefault="00170B66" w:rsidP="000A162D">
            <w:pPr>
              <w:pStyle w:val="TableParagraph"/>
              <w:jc w:val="center"/>
              <w:rPr>
                <w:rFonts w:ascii="Arial" w:eastAsia="Arial" w:hAnsi="Arial" w:cs="Arial"/>
                <w:spacing w:val="-1"/>
                <w:sz w:val="16"/>
                <w:szCs w:val="16"/>
                <w:lang w:val="cs-CZ"/>
              </w:rPr>
            </w:pPr>
            <w:r w:rsidRPr="00CC03D5">
              <w:rPr>
                <w:rFonts w:ascii="Arial" w:eastAsia="Arial" w:hAnsi="Arial" w:cs="Arial"/>
                <w:b/>
                <w:bCs/>
                <w:spacing w:val="-1"/>
                <w:sz w:val="16"/>
                <w:szCs w:val="16"/>
                <w:lang w:val="cs-CZ"/>
              </w:rPr>
              <w:t>1</w:t>
            </w:r>
            <w:r w:rsidRPr="00CC03D5">
              <w:rPr>
                <w:rFonts w:ascii="Arial" w:eastAsia="Arial" w:hAnsi="Arial" w:cs="Arial"/>
                <w:b/>
                <w:bCs/>
                <w:sz w:val="16"/>
                <w:szCs w:val="16"/>
                <w:lang w:val="cs-CZ"/>
              </w:rPr>
              <w:t>,5</w:t>
            </w:r>
          </w:p>
        </w:tc>
        <w:tc>
          <w:tcPr>
            <w:tcW w:w="1559" w:type="dxa"/>
            <w:tcBorders>
              <w:bottom w:val="single" w:sz="4" w:space="0" w:color="auto"/>
            </w:tcBorders>
            <w:shd w:val="clear" w:color="auto" w:fill="F7CAAC" w:themeFill="accent2" w:themeFillTint="66"/>
            <w:vAlign w:val="center"/>
          </w:tcPr>
          <w:p w14:paraId="4EE2B2CC" w14:textId="77777777" w:rsidR="00170B66" w:rsidRPr="00CC03D5" w:rsidRDefault="00170B66" w:rsidP="000A162D">
            <w:pPr>
              <w:pStyle w:val="TableParagraph"/>
              <w:jc w:val="center"/>
              <w:rPr>
                <w:rFonts w:ascii="Arial" w:eastAsia="Arial" w:hAnsi="Arial" w:cs="Arial"/>
                <w:sz w:val="16"/>
                <w:szCs w:val="16"/>
                <w:lang w:val="cs-CZ"/>
              </w:rPr>
            </w:pPr>
            <w:r w:rsidRPr="00CC03D5">
              <w:rPr>
                <w:rFonts w:ascii="Arial" w:eastAsia="Arial" w:hAnsi="Arial" w:cs="Arial"/>
                <w:spacing w:val="-1"/>
                <w:sz w:val="16"/>
                <w:szCs w:val="16"/>
                <w:lang w:val="cs-CZ"/>
              </w:rPr>
              <w:t>GÜ</w:t>
            </w:r>
            <w:r w:rsidRPr="00CC03D5">
              <w:rPr>
                <w:rFonts w:ascii="Arial" w:eastAsia="Arial" w:hAnsi="Arial" w:cs="Arial"/>
                <w:sz w:val="16"/>
                <w:szCs w:val="16"/>
                <w:lang w:val="cs-CZ"/>
              </w:rPr>
              <w:t>B</w:t>
            </w:r>
            <w:r w:rsidRPr="00CC03D5">
              <w:rPr>
                <w:rFonts w:ascii="Arial" w:eastAsia="Arial" w:hAnsi="Arial" w:cs="Arial"/>
                <w:spacing w:val="-2"/>
                <w:sz w:val="16"/>
                <w:szCs w:val="16"/>
                <w:lang w:val="cs-CZ"/>
              </w:rPr>
              <w:t>AK</w:t>
            </w:r>
          </w:p>
        </w:tc>
        <w:tc>
          <w:tcPr>
            <w:tcW w:w="2552" w:type="dxa"/>
            <w:tcBorders>
              <w:bottom w:val="single" w:sz="4" w:space="0" w:color="auto"/>
            </w:tcBorders>
            <w:shd w:val="clear" w:color="auto" w:fill="F7CAAC" w:themeFill="accent2" w:themeFillTint="66"/>
            <w:vAlign w:val="center"/>
          </w:tcPr>
          <w:p w14:paraId="69F22D06" w14:textId="77777777" w:rsidR="00170B66" w:rsidRPr="00CC03D5" w:rsidRDefault="00170B66" w:rsidP="000A162D">
            <w:pPr>
              <w:pStyle w:val="TableParagraph"/>
              <w:jc w:val="center"/>
              <w:rPr>
                <w:rFonts w:ascii="Arial" w:eastAsia="Calibri" w:hAnsi="Arial" w:cs="Arial"/>
                <w:sz w:val="16"/>
                <w:szCs w:val="16"/>
                <w:lang w:val="cs-CZ"/>
              </w:rPr>
            </w:pPr>
            <w:r w:rsidRPr="00CC03D5">
              <w:rPr>
                <w:rFonts w:ascii="Arial" w:hAnsi="Arial" w:cs="Arial"/>
                <w:spacing w:val="-1"/>
                <w:sz w:val="16"/>
                <w:szCs w:val="16"/>
                <w:lang w:val="cs-CZ"/>
              </w:rPr>
              <w:t>FGG Elbe 2013 / IKSE 2014</w:t>
            </w:r>
          </w:p>
        </w:tc>
      </w:tr>
      <w:tr w:rsidR="00170B66" w:rsidRPr="00CC03D5" w14:paraId="3F5E889F" w14:textId="77777777" w:rsidTr="00733615">
        <w:trPr>
          <w:cantSplit/>
        </w:trPr>
        <w:tc>
          <w:tcPr>
            <w:tcW w:w="0" w:type="auto"/>
            <w:shd w:val="clear" w:color="auto" w:fill="D9D9D9" w:themeFill="background1" w:themeFillShade="D9"/>
            <w:vAlign w:val="center"/>
          </w:tcPr>
          <w:p w14:paraId="0B2095FF" w14:textId="77777777" w:rsidR="00170B66" w:rsidRPr="00CC03D5" w:rsidRDefault="00170B66" w:rsidP="000A162D">
            <w:pPr>
              <w:pStyle w:val="TableParagraph"/>
              <w:jc w:val="center"/>
              <w:rPr>
                <w:rFonts w:ascii="Arial" w:eastAsia="Arial" w:hAnsi="Arial" w:cs="Arial"/>
                <w:sz w:val="16"/>
                <w:szCs w:val="16"/>
                <w:lang w:val="cs-CZ"/>
              </w:rPr>
            </w:pPr>
            <w:r w:rsidRPr="00CC03D5">
              <w:rPr>
                <w:rFonts w:ascii="Arial" w:eastAsia="Arial" w:hAnsi="Arial" w:cs="Arial"/>
                <w:b/>
                <w:bCs/>
                <w:spacing w:val="-1"/>
                <w:sz w:val="16"/>
                <w:szCs w:val="16"/>
                <w:lang w:val="cs-CZ"/>
              </w:rPr>
              <w:t>12</w:t>
            </w:r>
          </w:p>
        </w:tc>
        <w:tc>
          <w:tcPr>
            <w:tcW w:w="1168" w:type="dxa"/>
            <w:shd w:val="clear" w:color="auto" w:fill="D9D9D9" w:themeFill="background1" w:themeFillShade="D9"/>
            <w:vAlign w:val="center"/>
          </w:tcPr>
          <w:p w14:paraId="7C26FFCC" w14:textId="77777777" w:rsidR="00170B66" w:rsidRPr="00CC03D5" w:rsidRDefault="00170B66" w:rsidP="000A162D">
            <w:pPr>
              <w:pStyle w:val="TableParagraph"/>
              <w:rPr>
                <w:rFonts w:ascii="Arial" w:eastAsia="Arial" w:hAnsi="Arial" w:cs="Arial"/>
                <w:sz w:val="16"/>
                <w:szCs w:val="16"/>
                <w:lang w:val="cs-CZ"/>
              </w:rPr>
            </w:pPr>
            <w:proofErr w:type="spellStart"/>
            <w:r w:rsidRPr="00CC03D5">
              <w:rPr>
                <w:rFonts w:ascii="Arial" w:eastAsia="Arial" w:hAnsi="Arial" w:cs="Arial"/>
                <w:b/>
                <w:bCs/>
                <w:sz w:val="16"/>
                <w:szCs w:val="16"/>
                <w:lang w:val="cs-CZ"/>
              </w:rPr>
              <w:t>p,p</w:t>
            </w:r>
            <w:r w:rsidRPr="00CC03D5">
              <w:rPr>
                <w:rFonts w:ascii="Arial" w:eastAsia="Arial" w:hAnsi="Arial" w:cs="Arial"/>
                <w:b/>
                <w:bCs/>
                <w:spacing w:val="-1"/>
                <w:sz w:val="16"/>
                <w:szCs w:val="16"/>
                <w:lang w:val="cs-CZ"/>
              </w:rPr>
              <w:t>´DDT</w:t>
            </w:r>
            <w:proofErr w:type="spellEnd"/>
          </w:p>
        </w:tc>
        <w:tc>
          <w:tcPr>
            <w:tcW w:w="828" w:type="dxa"/>
            <w:shd w:val="clear" w:color="auto" w:fill="D9D9D9" w:themeFill="background1" w:themeFillShade="D9"/>
            <w:vAlign w:val="center"/>
          </w:tcPr>
          <w:p w14:paraId="7F301CBB" w14:textId="77777777" w:rsidR="00170B66" w:rsidRPr="00CC03D5" w:rsidRDefault="00170B66" w:rsidP="000A162D">
            <w:pPr>
              <w:pStyle w:val="TableParagraph"/>
              <w:jc w:val="center"/>
              <w:rPr>
                <w:rFonts w:ascii="Arial" w:eastAsia="Arial" w:hAnsi="Arial" w:cs="Arial"/>
                <w:sz w:val="16"/>
                <w:szCs w:val="16"/>
                <w:lang w:val="cs-CZ"/>
              </w:rPr>
            </w:pPr>
            <w:proofErr w:type="spellStart"/>
            <w:r w:rsidRPr="00CC03D5">
              <w:rPr>
                <w:rFonts w:ascii="Arial" w:eastAsia="Arial" w:hAnsi="Arial" w:cs="Arial"/>
                <w:b/>
                <w:bCs/>
                <w:sz w:val="16"/>
                <w:szCs w:val="16"/>
                <w:lang w:val="cs-CZ"/>
              </w:rPr>
              <w:t>μg</w:t>
            </w:r>
            <w:proofErr w:type="spellEnd"/>
            <w:r w:rsidRPr="00CC03D5">
              <w:rPr>
                <w:rFonts w:ascii="Arial" w:eastAsia="Arial" w:hAnsi="Arial" w:cs="Arial"/>
                <w:b/>
                <w:bCs/>
                <w:sz w:val="16"/>
                <w:szCs w:val="16"/>
                <w:lang w:val="cs-CZ"/>
              </w:rPr>
              <w:t>/</w:t>
            </w:r>
            <w:r w:rsidRPr="00CC03D5">
              <w:rPr>
                <w:rFonts w:ascii="Arial" w:eastAsia="Arial" w:hAnsi="Arial" w:cs="Arial"/>
                <w:b/>
                <w:bCs/>
                <w:spacing w:val="-1"/>
                <w:sz w:val="16"/>
                <w:szCs w:val="16"/>
                <w:lang w:val="cs-CZ"/>
              </w:rPr>
              <w:t>kg</w:t>
            </w:r>
          </w:p>
        </w:tc>
        <w:tc>
          <w:tcPr>
            <w:tcW w:w="1480" w:type="dxa"/>
            <w:gridSpan w:val="2"/>
            <w:tcBorders>
              <w:bottom w:val="single" w:sz="4" w:space="0" w:color="auto"/>
            </w:tcBorders>
            <w:shd w:val="clear" w:color="auto" w:fill="D9D9D9" w:themeFill="background1" w:themeFillShade="D9"/>
            <w:vAlign w:val="center"/>
          </w:tcPr>
          <w:p w14:paraId="73CB3A3A" w14:textId="77777777" w:rsidR="00170B66" w:rsidRPr="00CC03D5" w:rsidRDefault="00170B66" w:rsidP="000A162D">
            <w:pPr>
              <w:pStyle w:val="TableParagraph"/>
              <w:jc w:val="center"/>
              <w:rPr>
                <w:rFonts w:ascii="Arial" w:eastAsia="Arial" w:hAnsi="Arial" w:cs="Arial"/>
                <w:spacing w:val="-1"/>
                <w:sz w:val="16"/>
                <w:szCs w:val="16"/>
                <w:lang w:val="cs-CZ"/>
              </w:rPr>
            </w:pPr>
            <w:r w:rsidRPr="00CC03D5">
              <w:rPr>
                <w:rFonts w:ascii="Arial" w:eastAsia="Arial" w:hAnsi="Arial" w:cs="Arial"/>
                <w:b/>
                <w:bCs/>
                <w:sz w:val="16"/>
                <w:szCs w:val="16"/>
                <w:lang w:val="cs-CZ"/>
              </w:rPr>
              <w:t>1</w:t>
            </w:r>
          </w:p>
        </w:tc>
        <w:tc>
          <w:tcPr>
            <w:tcW w:w="1752" w:type="dxa"/>
            <w:tcBorders>
              <w:bottom w:val="single" w:sz="4" w:space="0" w:color="auto"/>
            </w:tcBorders>
            <w:shd w:val="clear" w:color="auto" w:fill="D9D9D9" w:themeFill="background1" w:themeFillShade="D9"/>
            <w:vAlign w:val="center"/>
          </w:tcPr>
          <w:p w14:paraId="5685AC7E" w14:textId="77777777" w:rsidR="00170B66" w:rsidRPr="00CC03D5" w:rsidRDefault="00170B66" w:rsidP="000A162D">
            <w:pPr>
              <w:pStyle w:val="TableParagraph"/>
              <w:jc w:val="center"/>
              <w:rPr>
                <w:rFonts w:ascii="Arial" w:eastAsia="Arial" w:hAnsi="Arial" w:cs="Arial"/>
                <w:sz w:val="16"/>
                <w:szCs w:val="16"/>
                <w:lang w:val="cs-CZ"/>
              </w:rPr>
            </w:pPr>
            <w:r w:rsidRPr="00CC03D5">
              <w:rPr>
                <w:rFonts w:ascii="Arial" w:eastAsia="Arial" w:hAnsi="Arial" w:cs="Arial"/>
                <w:spacing w:val="-1"/>
                <w:sz w:val="16"/>
                <w:szCs w:val="16"/>
                <w:lang w:val="cs-CZ"/>
              </w:rPr>
              <w:t>GÜ</w:t>
            </w:r>
            <w:r w:rsidRPr="00CC03D5">
              <w:rPr>
                <w:rFonts w:ascii="Arial" w:eastAsia="Arial" w:hAnsi="Arial" w:cs="Arial"/>
                <w:sz w:val="16"/>
                <w:szCs w:val="16"/>
                <w:lang w:val="cs-CZ"/>
              </w:rPr>
              <w:t>B</w:t>
            </w:r>
            <w:r w:rsidRPr="00CC03D5">
              <w:rPr>
                <w:rFonts w:ascii="Arial" w:eastAsia="Arial" w:hAnsi="Arial" w:cs="Arial"/>
                <w:spacing w:val="-2"/>
                <w:sz w:val="16"/>
                <w:szCs w:val="16"/>
                <w:lang w:val="cs-CZ"/>
              </w:rPr>
              <w:t>AK</w:t>
            </w:r>
          </w:p>
        </w:tc>
        <w:tc>
          <w:tcPr>
            <w:tcW w:w="2694" w:type="dxa"/>
            <w:tcBorders>
              <w:bottom w:val="single" w:sz="4" w:space="0" w:color="auto"/>
            </w:tcBorders>
            <w:shd w:val="clear" w:color="auto" w:fill="D9D9D9" w:themeFill="background1" w:themeFillShade="D9"/>
            <w:vAlign w:val="center"/>
          </w:tcPr>
          <w:p w14:paraId="61374D7D" w14:textId="77777777" w:rsidR="00170B66" w:rsidRPr="00CC03D5" w:rsidRDefault="00170B66" w:rsidP="000A162D">
            <w:pPr>
              <w:pStyle w:val="TableParagraph"/>
              <w:jc w:val="center"/>
              <w:rPr>
                <w:rFonts w:ascii="Arial" w:eastAsia="Calibri" w:hAnsi="Arial" w:cs="Arial"/>
                <w:sz w:val="16"/>
                <w:szCs w:val="16"/>
                <w:lang w:val="cs-CZ"/>
              </w:rPr>
            </w:pPr>
            <w:r w:rsidRPr="00CC03D5">
              <w:rPr>
                <w:rFonts w:ascii="Arial" w:hAnsi="Arial" w:cs="Arial"/>
                <w:spacing w:val="-1"/>
                <w:sz w:val="16"/>
                <w:szCs w:val="16"/>
                <w:lang w:val="cs-CZ"/>
              </w:rPr>
              <w:t>FGG Elbe 2013 / IKSE 2014</w:t>
            </w:r>
          </w:p>
        </w:tc>
        <w:tc>
          <w:tcPr>
            <w:tcW w:w="1559" w:type="dxa"/>
            <w:gridSpan w:val="2"/>
            <w:tcBorders>
              <w:bottom w:val="single" w:sz="4" w:space="0" w:color="auto"/>
            </w:tcBorders>
            <w:shd w:val="clear" w:color="auto" w:fill="D9D9D9" w:themeFill="background1" w:themeFillShade="D9"/>
            <w:vAlign w:val="center"/>
          </w:tcPr>
          <w:p w14:paraId="21A4ADF2" w14:textId="77777777" w:rsidR="00170B66" w:rsidRPr="00CC03D5" w:rsidRDefault="00170B66" w:rsidP="000A162D">
            <w:pPr>
              <w:pStyle w:val="TableParagraph"/>
              <w:jc w:val="center"/>
              <w:rPr>
                <w:rFonts w:ascii="Arial" w:eastAsia="Arial" w:hAnsi="Arial" w:cs="Arial"/>
                <w:spacing w:val="-1"/>
                <w:sz w:val="16"/>
                <w:szCs w:val="16"/>
                <w:lang w:val="cs-CZ"/>
              </w:rPr>
            </w:pPr>
            <w:r w:rsidRPr="00CC03D5">
              <w:rPr>
                <w:rFonts w:ascii="Arial" w:eastAsia="Arial" w:hAnsi="Arial" w:cs="Arial"/>
                <w:b/>
                <w:bCs/>
                <w:sz w:val="16"/>
                <w:szCs w:val="16"/>
                <w:lang w:val="cs-CZ"/>
              </w:rPr>
              <w:t>3</w:t>
            </w:r>
          </w:p>
        </w:tc>
        <w:tc>
          <w:tcPr>
            <w:tcW w:w="1559" w:type="dxa"/>
            <w:tcBorders>
              <w:bottom w:val="single" w:sz="4" w:space="0" w:color="auto"/>
            </w:tcBorders>
            <w:shd w:val="clear" w:color="auto" w:fill="D9D9D9" w:themeFill="background1" w:themeFillShade="D9"/>
            <w:vAlign w:val="center"/>
          </w:tcPr>
          <w:p w14:paraId="45B1E838" w14:textId="77777777" w:rsidR="00170B66" w:rsidRPr="00CC03D5" w:rsidRDefault="00170B66" w:rsidP="000A162D">
            <w:pPr>
              <w:pStyle w:val="TableParagraph"/>
              <w:jc w:val="center"/>
              <w:rPr>
                <w:rFonts w:ascii="Arial" w:eastAsia="Arial" w:hAnsi="Arial" w:cs="Arial"/>
                <w:sz w:val="16"/>
                <w:szCs w:val="16"/>
                <w:lang w:val="cs-CZ"/>
              </w:rPr>
            </w:pPr>
            <w:r w:rsidRPr="00CC03D5">
              <w:rPr>
                <w:rFonts w:ascii="Arial" w:eastAsia="Arial" w:hAnsi="Arial" w:cs="Arial"/>
                <w:spacing w:val="-1"/>
                <w:sz w:val="16"/>
                <w:szCs w:val="16"/>
                <w:lang w:val="cs-CZ"/>
              </w:rPr>
              <w:t>GÜ</w:t>
            </w:r>
            <w:r w:rsidRPr="00CC03D5">
              <w:rPr>
                <w:rFonts w:ascii="Arial" w:eastAsia="Arial" w:hAnsi="Arial" w:cs="Arial"/>
                <w:sz w:val="16"/>
                <w:szCs w:val="16"/>
                <w:lang w:val="cs-CZ"/>
              </w:rPr>
              <w:t>B</w:t>
            </w:r>
            <w:r w:rsidRPr="00CC03D5">
              <w:rPr>
                <w:rFonts w:ascii="Arial" w:eastAsia="Arial" w:hAnsi="Arial" w:cs="Arial"/>
                <w:spacing w:val="-2"/>
                <w:sz w:val="16"/>
                <w:szCs w:val="16"/>
                <w:lang w:val="cs-CZ"/>
              </w:rPr>
              <w:t>AK</w:t>
            </w:r>
          </w:p>
        </w:tc>
        <w:tc>
          <w:tcPr>
            <w:tcW w:w="2552" w:type="dxa"/>
            <w:tcBorders>
              <w:bottom w:val="single" w:sz="4" w:space="0" w:color="auto"/>
            </w:tcBorders>
            <w:shd w:val="clear" w:color="auto" w:fill="D9D9D9" w:themeFill="background1" w:themeFillShade="D9"/>
            <w:vAlign w:val="center"/>
          </w:tcPr>
          <w:p w14:paraId="552674E0" w14:textId="77777777" w:rsidR="00170B66" w:rsidRPr="00CC03D5" w:rsidRDefault="00170B66" w:rsidP="000A162D">
            <w:pPr>
              <w:pStyle w:val="TableParagraph"/>
              <w:jc w:val="center"/>
              <w:rPr>
                <w:rFonts w:ascii="Arial" w:eastAsia="Calibri" w:hAnsi="Arial" w:cs="Arial"/>
                <w:sz w:val="16"/>
                <w:szCs w:val="16"/>
                <w:lang w:val="cs-CZ"/>
              </w:rPr>
            </w:pPr>
            <w:r w:rsidRPr="00CC03D5">
              <w:rPr>
                <w:rFonts w:ascii="Arial" w:hAnsi="Arial" w:cs="Arial"/>
                <w:spacing w:val="-1"/>
                <w:sz w:val="16"/>
                <w:szCs w:val="16"/>
                <w:lang w:val="cs-CZ"/>
              </w:rPr>
              <w:t>FGG Elbe 2013 / IKSE 2014</w:t>
            </w:r>
          </w:p>
        </w:tc>
      </w:tr>
      <w:tr w:rsidR="00170B66" w:rsidRPr="00CC03D5" w14:paraId="44C4E7C3" w14:textId="77777777" w:rsidTr="00733615">
        <w:trPr>
          <w:cantSplit/>
        </w:trPr>
        <w:tc>
          <w:tcPr>
            <w:tcW w:w="0" w:type="auto"/>
            <w:tcBorders>
              <w:bottom w:val="single" w:sz="4" w:space="0" w:color="auto"/>
            </w:tcBorders>
            <w:vAlign w:val="center"/>
          </w:tcPr>
          <w:p w14:paraId="28AC0E09" w14:textId="77777777" w:rsidR="00170B66" w:rsidRPr="00CC03D5" w:rsidRDefault="00170B66" w:rsidP="000A162D">
            <w:pPr>
              <w:pStyle w:val="TableParagraph"/>
              <w:jc w:val="center"/>
              <w:rPr>
                <w:rFonts w:ascii="Arial" w:eastAsia="Arial" w:hAnsi="Arial" w:cs="Arial"/>
                <w:sz w:val="16"/>
                <w:szCs w:val="16"/>
                <w:lang w:val="cs-CZ"/>
              </w:rPr>
            </w:pPr>
            <w:r w:rsidRPr="00CC03D5">
              <w:rPr>
                <w:rFonts w:ascii="Arial" w:eastAsia="Arial" w:hAnsi="Arial" w:cs="Arial"/>
                <w:b/>
                <w:bCs/>
                <w:spacing w:val="-1"/>
                <w:sz w:val="16"/>
                <w:szCs w:val="16"/>
                <w:lang w:val="cs-CZ"/>
              </w:rPr>
              <w:t>13</w:t>
            </w:r>
          </w:p>
        </w:tc>
        <w:tc>
          <w:tcPr>
            <w:tcW w:w="1168" w:type="dxa"/>
            <w:tcBorders>
              <w:bottom w:val="single" w:sz="4" w:space="0" w:color="auto"/>
            </w:tcBorders>
            <w:vAlign w:val="center"/>
          </w:tcPr>
          <w:p w14:paraId="6BA333AD" w14:textId="77777777" w:rsidR="00170B66" w:rsidRPr="00CC03D5" w:rsidRDefault="00170B66" w:rsidP="000A162D">
            <w:pPr>
              <w:pStyle w:val="TableParagraph"/>
              <w:rPr>
                <w:rFonts w:ascii="Arial" w:eastAsia="Arial" w:hAnsi="Arial" w:cs="Arial"/>
                <w:sz w:val="16"/>
                <w:szCs w:val="16"/>
                <w:lang w:val="cs-CZ"/>
              </w:rPr>
            </w:pPr>
            <w:proofErr w:type="spellStart"/>
            <w:r w:rsidRPr="00CC03D5">
              <w:rPr>
                <w:rFonts w:ascii="Arial" w:eastAsia="Arial" w:hAnsi="Arial" w:cs="Arial"/>
                <w:b/>
                <w:bCs/>
                <w:sz w:val="16"/>
                <w:szCs w:val="16"/>
                <w:lang w:val="cs-CZ"/>
              </w:rPr>
              <w:t>p,p</w:t>
            </w:r>
            <w:r w:rsidRPr="00CC03D5">
              <w:rPr>
                <w:rFonts w:ascii="Arial" w:eastAsia="Arial" w:hAnsi="Arial" w:cs="Arial"/>
                <w:b/>
                <w:bCs/>
                <w:spacing w:val="-1"/>
                <w:sz w:val="16"/>
                <w:szCs w:val="16"/>
                <w:lang w:val="cs-CZ"/>
              </w:rPr>
              <w:t>´DDE</w:t>
            </w:r>
            <w:proofErr w:type="spellEnd"/>
          </w:p>
        </w:tc>
        <w:tc>
          <w:tcPr>
            <w:tcW w:w="828" w:type="dxa"/>
            <w:tcBorders>
              <w:bottom w:val="single" w:sz="4" w:space="0" w:color="auto"/>
            </w:tcBorders>
            <w:vAlign w:val="center"/>
          </w:tcPr>
          <w:p w14:paraId="6F026DD4" w14:textId="77777777" w:rsidR="00170B66" w:rsidRPr="00CC03D5" w:rsidRDefault="00170B66" w:rsidP="000A162D">
            <w:pPr>
              <w:pStyle w:val="TableParagraph"/>
              <w:jc w:val="center"/>
              <w:rPr>
                <w:rFonts w:ascii="Arial" w:eastAsia="Arial" w:hAnsi="Arial" w:cs="Arial"/>
                <w:sz w:val="16"/>
                <w:szCs w:val="16"/>
                <w:lang w:val="cs-CZ"/>
              </w:rPr>
            </w:pPr>
            <w:proofErr w:type="spellStart"/>
            <w:r w:rsidRPr="00CC03D5">
              <w:rPr>
                <w:rFonts w:ascii="Arial" w:eastAsia="Arial" w:hAnsi="Arial" w:cs="Arial"/>
                <w:b/>
                <w:bCs/>
                <w:sz w:val="16"/>
                <w:szCs w:val="16"/>
                <w:lang w:val="cs-CZ"/>
              </w:rPr>
              <w:t>μg</w:t>
            </w:r>
            <w:proofErr w:type="spellEnd"/>
            <w:r w:rsidRPr="00CC03D5">
              <w:rPr>
                <w:rFonts w:ascii="Arial" w:eastAsia="Arial" w:hAnsi="Arial" w:cs="Arial"/>
                <w:b/>
                <w:bCs/>
                <w:sz w:val="16"/>
                <w:szCs w:val="16"/>
                <w:lang w:val="cs-CZ"/>
              </w:rPr>
              <w:t>/</w:t>
            </w:r>
            <w:r w:rsidRPr="00CC03D5">
              <w:rPr>
                <w:rFonts w:ascii="Arial" w:eastAsia="Arial" w:hAnsi="Arial" w:cs="Arial"/>
                <w:b/>
                <w:bCs/>
                <w:spacing w:val="-1"/>
                <w:sz w:val="16"/>
                <w:szCs w:val="16"/>
                <w:lang w:val="cs-CZ"/>
              </w:rPr>
              <w:t>kg</w:t>
            </w:r>
          </w:p>
        </w:tc>
        <w:tc>
          <w:tcPr>
            <w:tcW w:w="1480" w:type="dxa"/>
            <w:gridSpan w:val="2"/>
            <w:tcBorders>
              <w:bottom w:val="single" w:sz="4" w:space="0" w:color="auto"/>
            </w:tcBorders>
            <w:shd w:val="clear" w:color="auto" w:fill="CAFBA5"/>
            <w:vAlign w:val="center"/>
          </w:tcPr>
          <w:p w14:paraId="4B3C5321" w14:textId="77777777" w:rsidR="00170B66" w:rsidRPr="00CC03D5" w:rsidRDefault="00170B66" w:rsidP="000A162D">
            <w:pPr>
              <w:pStyle w:val="TableParagraph"/>
              <w:jc w:val="center"/>
              <w:rPr>
                <w:rFonts w:ascii="Arial" w:eastAsia="Arial" w:hAnsi="Arial" w:cs="Arial"/>
                <w:spacing w:val="-1"/>
                <w:sz w:val="16"/>
                <w:szCs w:val="16"/>
                <w:lang w:val="cs-CZ"/>
              </w:rPr>
            </w:pPr>
            <w:r w:rsidRPr="00CC03D5">
              <w:rPr>
                <w:rFonts w:ascii="Arial" w:eastAsia="Arial" w:hAnsi="Arial" w:cs="Arial"/>
                <w:b/>
                <w:bCs/>
                <w:spacing w:val="-1"/>
                <w:sz w:val="16"/>
                <w:szCs w:val="16"/>
                <w:lang w:val="cs-CZ"/>
              </w:rPr>
              <w:t>0</w:t>
            </w:r>
            <w:r w:rsidRPr="00CC03D5">
              <w:rPr>
                <w:rFonts w:ascii="Arial" w:eastAsia="Arial" w:hAnsi="Arial" w:cs="Arial"/>
                <w:b/>
                <w:bCs/>
                <w:sz w:val="16"/>
                <w:szCs w:val="16"/>
                <w:lang w:val="cs-CZ"/>
              </w:rPr>
              <w:t>,</w:t>
            </w:r>
            <w:r w:rsidRPr="00CC03D5">
              <w:rPr>
                <w:rFonts w:ascii="Arial" w:eastAsia="Arial" w:hAnsi="Arial" w:cs="Arial"/>
                <w:b/>
                <w:bCs/>
                <w:spacing w:val="-1"/>
                <w:sz w:val="16"/>
                <w:szCs w:val="16"/>
                <w:lang w:val="cs-CZ"/>
              </w:rPr>
              <w:t>31</w:t>
            </w:r>
          </w:p>
        </w:tc>
        <w:tc>
          <w:tcPr>
            <w:tcW w:w="1752" w:type="dxa"/>
            <w:tcBorders>
              <w:bottom w:val="single" w:sz="4" w:space="0" w:color="auto"/>
            </w:tcBorders>
            <w:shd w:val="clear" w:color="auto" w:fill="CAFBA5"/>
            <w:vAlign w:val="center"/>
          </w:tcPr>
          <w:p w14:paraId="644DEF3B" w14:textId="77777777" w:rsidR="00170B66" w:rsidRPr="00CC03D5" w:rsidRDefault="00170B66" w:rsidP="000A162D">
            <w:pPr>
              <w:pStyle w:val="TableParagraph"/>
              <w:jc w:val="center"/>
              <w:rPr>
                <w:rFonts w:ascii="Arial" w:eastAsia="Arial" w:hAnsi="Arial" w:cs="Arial"/>
                <w:sz w:val="16"/>
                <w:szCs w:val="16"/>
                <w:lang w:val="cs-CZ"/>
              </w:rPr>
            </w:pPr>
            <w:r w:rsidRPr="00CC03D5">
              <w:rPr>
                <w:rFonts w:ascii="Arial" w:eastAsia="Arial" w:hAnsi="Arial" w:cs="Arial"/>
                <w:spacing w:val="-1"/>
                <w:sz w:val="16"/>
                <w:szCs w:val="16"/>
                <w:lang w:val="cs-CZ"/>
              </w:rPr>
              <w:t>d</w:t>
            </w:r>
            <w:r w:rsidRPr="00CC03D5">
              <w:rPr>
                <w:rFonts w:ascii="Arial" w:eastAsia="Arial" w:hAnsi="Arial" w:cs="Arial"/>
                <w:sz w:val="16"/>
                <w:szCs w:val="16"/>
                <w:lang w:val="cs-CZ"/>
              </w:rPr>
              <w:t xml:space="preserve">e </w:t>
            </w:r>
            <w:proofErr w:type="spellStart"/>
            <w:proofErr w:type="gramStart"/>
            <w:r w:rsidRPr="00CC03D5">
              <w:rPr>
                <w:rFonts w:ascii="Arial" w:eastAsia="Arial" w:hAnsi="Arial" w:cs="Arial"/>
                <w:spacing w:val="-1"/>
                <w:sz w:val="16"/>
                <w:szCs w:val="16"/>
                <w:lang w:val="cs-CZ"/>
              </w:rPr>
              <w:t>De</w:t>
            </w:r>
            <w:r w:rsidRPr="00CC03D5">
              <w:rPr>
                <w:rFonts w:ascii="Arial" w:eastAsia="Arial" w:hAnsi="Arial" w:cs="Arial"/>
                <w:spacing w:val="1"/>
                <w:sz w:val="16"/>
                <w:szCs w:val="16"/>
                <w:lang w:val="cs-CZ"/>
              </w:rPr>
              <w:t>ck</w:t>
            </w:r>
            <w:r w:rsidRPr="00CC03D5">
              <w:rPr>
                <w:rFonts w:ascii="Arial" w:eastAsia="Arial" w:hAnsi="Arial" w:cs="Arial"/>
                <w:spacing w:val="-1"/>
                <w:sz w:val="16"/>
                <w:szCs w:val="16"/>
                <w:lang w:val="cs-CZ"/>
              </w:rPr>
              <w:t>er</w:t>
            </w:r>
            <w:r w:rsidRPr="00CC03D5">
              <w:rPr>
                <w:rFonts w:ascii="Arial" w:eastAsia="Arial" w:hAnsi="Arial" w:cs="Arial"/>
                <w:sz w:val="16"/>
                <w:szCs w:val="16"/>
                <w:lang w:val="cs-CZ"/>
              </w:rPr>
              <w:t>e</w:t>
            </w:r>
            <w:proofErr w:type="spellEnd"/>
            <w:proofErr w:type="gramEnd"/>
          </w:p>
        </w:tc>
        <w:tc>
          <w:tcPr>
            <w:tcW w:w="2694" w:type="dxa"/>
            <w:tcBorders>
              <w:bottom w:val="single" w:sz="4" w:space="0" w:color="auto"/>
            </w:tcBorders>
            <w:shd w:val="clear" w:color="auto" w:fill="CAFBA5"/>
            <w:vAlign w:val="center"/>
          </w:tcPr>
          <w:p w14:paraId="1CDF86E6" w14:textId="77777777" w:rsidR="00170B66" w:rsidRPr="00CC03D5" w:rsidRDefault="00170B66" w:rsidP="000A162D">
            <w:pPr>
              <w:pStyle w:val="TableParagraph"/>
              <w:jc w:val="center"/>
              <w:rPr>
                <w:rFonts w:ascii="Arial" w:eastAsia="Calibri" w:hAnsi="Arial" w:cs="Arial"/>
                <w:sz w:val="16"/>
                <w:szCs w:val="16"/>
                <w:lang w:val="cs-CZ"/>
              </w:rPr>
            </w:pPr>
            <w:r w:rsidRPr="00CC03D5">
              <w:rPr>
                <w:rFonts w:ascii="Arial" w:hAnsi="Arial" w:cs="Arial"/>
                <w:spacing w:val="-1"/>
                <w:sz w:val="16"/>
                <w:szCs w:val="16"/>
                <w:lang w:val="cs-CZ"/>
              </w:rPr>
              <w:t>FGG Elbe 2013 / IKSE 2014</w:t>
            </w:r>
          </w:p>
        </w:tc>
        <w:tc>
          <w:tcPr>
            <w:tcW w:w="1559" w:type="dxa"/>
            <w:gridSpan w:val="2"/>
            <w:tcBorders>
              <w:bottom w:val="single" w:sz="4" w:space="0" w:color="auto"/>
            </w:tcBorders>
            <w:shd w:val="clear" w:color="auto" w:fill="F7CAAC" w:themeFill="accent2" w:themeFillTint="66"/>
            <w:vAlign w:val="center"/>
          </w:tcPr>
          <w:p w14:paraId="4646DE93" w14:textId="77777777" w:rsidR="00170B66" w:rsidRPr="00CC03D5" w:rsidRDefault="00170B66" w:rsidP="000A162D">
            <w:pPr>
              <w:pStyle w:val="TableParagraph"/>
              <w:jc w:val="center"/>
              <w:rPr>
                <w:rFonts w:ascii="Arial" w:eastAsia="Arial" w:hAnsi="Arial" w:cs="Arial"/>
                <w:spacing w:val="-1"/>
                <w:sz w:val="16"/>
                <w:szCs w:val="16"/>
                <w:lang w:val="cs-CZ"/>
              </w:rPr>
            </w:pPr>
            <w:r w:rsidRPr="00CC03D5">
              <w:rPr>
                <w:rFonts w:ascii="Arial" w:eastAsia="Arial" w:hAnsi="Arial" w:cs="Arial"/>
                <w:b/>
                <w:bCs/>
                <w:spacing w:val="-1"/>
                <w:sz w:val="16"/>
                <w:szCs w:val="16"/>
                <w:lang w:val="cs-CZ"/>
              </w:rPr>
              <w:t>6</w:t>
            </w:r>
            <w:r w:rsidRPr="00CC03D5">
              <w:rPr>
                <w:rFonts w:ascii="Arial" w:eastAsia="Arial" w:hAnsi="Arial" w:cs="Arial"/>
                <w:b/>
                <w:bCs/>
                <w:sz w:val="16"/>
                <w:szCs w:val="16"/>
                <w:lang w:val="cs-CZ"/>
              </w:rPr>
              <w:t>,8</w:t>
            </w:r>
          </w:p>
        </w:tc>
        <w:tc>
          <w:tcPr>
            <w:tcW w:w="1559" w:type="dxa"/>
            <w:tcBorders>
              <w:bottom w:val="single" w:sz="4" w:space="0" w:color="auto"/>
            </w:tcBorders>
            <w:shd w:val="clear" w:color="auto" w:fill="F7CAAC" w:themeFill="accent2" w:themeFillTint="66"/>
            <w:vAlign w:val="center"/>
          </w:tcPr>
          <w:p w14:paraId="27D59003" w14:textId="77777777" w:rsidR="00170B66" w:rsidRPr="00CC03D5" w:rsidRDefault="00170B66" w:rsidP="000A162D">
            <w:pPr>
              <w:pStyle w:val="TableParagraph"/>
              <w:jc w:val="center"/>
              <w:rPr>
                <w:rFonts w:ascii="Arial" w:eastAsia="Arial" w:hAnsi="Arial" w:cs="Arial"/>
                <w:sz w:val="16"/>
                <w:szCs w:val="16"/>
                <w:lang w:val="cs-CZ"/>
              </w:rPr>
            </w:pPr>
            <w:r w:rsidRPr="00CC03D5">
              <w:rPr>
                <w:rFonts w:ascii="Arial" w:eastAsia="Arial" w:hAnsi="Arial" w:cs="Arial"/>
                <w:spacing w:val="-1"/>
                <w:sz w:val="16"/>
                <w:szCs w:val="16"/>
                <w:lang w:val="cs-CZ"/>
              </w:rPr>
              <w:t>d</w:t>
            </w:r>
            <w:r w:rsidRPr="00CC03D5">
              <w:rPr>
                <w:rFonts w:ascii="Arial" w:eastAsia="Arial" w:hAnsi="Arial" w:cs="Arial"/>
                <w:sz w:val="16"/>
                <w:szCs w:val="16"/>
                <w:lang w:val="cs-CZ"/>
              </w:rPr>
              <w:t xml:space="preserve">e </w:t>
            </w:r>
            <w:proofErr w:type="spellStart"/>
            <w:proofErr w:type="gramStart"/>
            <w:r w:rsidRPr="00CC03D5">
              <w:rPr>
                <w:rFonts w:ascii="Arial" w:eastAsia="Arial" w:hAnsi="Arial" w:cs="Arial"/>
                <w:spacing w:val="-1"/>
                <w:sz w:val="16"/>
                <w:szCs w:val="16"/>
                <w:lang w:val="cs-CZ"/>
              </w:rPr>
              <w:t>De</w:t>
            </w:r>
            <w:r w:rsidRPr="00CC03D5">
              <w:rPr>
                <w:rFonts w:ascii="Arial" w:eastAsia="Arial" w:hAnsi="Arial" w:cs="Arial"/>
                <w:spacing w:val="1"/>
                <w:sz w:val="16"/>
                <w:szCs w:val="16"/>
                <w:lang w:val="cs-CZ"/>
              </w:rPr>
              <w:t>ck</w:t>
            </w:r>
            <w:r w:rsidRPr="00CC03D5">
              <w:rPr>
                <w:rFonts w:ascii="Arial" w:eastAsia="Arial" w:hAnsi="Arial" w:cs="Arial"/>
                <w:spacing w:val="-1"/>
                <w:sz w:val="16"/>
                <w:szCs w:val="16"/>
                <w:lang w:val="cs-CZ"/>
              </w:rPr>
              <w:t>er</w:t>
            </w:r>
            <w:r w:rsidRPr="00CC03D5">
              <w:rPr>
                <w:rFonts w:ascii="Arial" w:eastAsia="Arial" w:hAnsi="Arial" w:cs="Arial"/>
                <w:sz w:val="16"/>
                <w:szCs w:val="16"/>
                <w:lang w:val="cs-CZ"/>
              </w:rPr>
              <w:t>e</w:t>
            </w:r>
            <w:proofErr w:type="spellEnd"/>
            <w:proofErr w:type="gramEnd"/>
          </w:p>
        </w:tc>
        <w:tc>
          <w:tcPr>
            <w:tcW w:w="2552" w:type="dxa"/>
            <w:tcBorders>
              <w:bottom w:val="single" w:sz="4" w:space="0" w:color="auto"/>
            </w:tcBorders>
            <w:shd w:val="clear" w:color="auto" w:fill="F7CAAC" w:themeFill="accent2" w:themeFillTint="66"/>
            <w:vAlign w:val="center"/>
          </w:tcPr>
          <w:p w14:paraId="47027810" w14:textId="77777777" w:rsidR="00170B66" w:rsidRPr="00CC03D5" w:rsidRDefault="00170B66" w:rsidP="000A162D">
            <w:pPr>
              <w:pStyle w:val="TableParagraph"/>
              <w:jc w:val="center"/>
              <w:rPr>
                <w:rFonts w:ascii="Arial" w:eastAsia="Calibri" w:hAnsi="Arial" w:cs="Arial"/>
                <w:sz w:val="16"/>
                <w:szCs w:val="16"/>
                <w:lang w:val="cs-CZ"/>
              </w:rPr>
            </w:pPr>
            <w:r w:rsidRPr="00CC03D5">
              <w:rPr>
                <w:rFonts w:ascii="Arial" w:hAnsi="Arial" w:cs="Arial"/>
                <w:spacing w:val="-1"/>
                <w:sz w:val="16"/>
                <w:szCs w:val="16"/>
                <w:lang w:val="cs-CZ"/>
              </w:rPr>
              <w:t>FGG Elbe 2013 / IKSE 2014</w:t>
            </w:r>
          </w:p>
        </w:tc>
      </w:tr>
      <w:tr w:rsidR="00170B66" w:rsidRPr="00CC03D5" w14:paraId="4AB1728C" w14:textId="77777777" w:rsidTr="00733615">
        <w:trPr>
          <w:cantSplit/>
        </w:trPr>
        <w:tc>
          <w:tcPr>
            <w:tcW w:w="0" w:type="auto"/>
            <w:shd w:val="clear" w:color="auto" w:fill="D9D9D9" w:themeFill="background1" w:themeFillShade="D9"/>
            <w:vAlign w:val="center"/>
          </w:tcPr>
          <w:p w14:paraId="50FBF789" w14:textId="77777777" w:rsidR="00170B66" w:rsidRPr="00CC03D5" w:rsidRDefault="00170B66" w:rsidP="000A162D">
            <w:pPr>
              <w:pStyle w:val="TableParagraph"/>
              <w:jc w:val="center"/>
              <w:rPr>
                <w:rFonts w:ascii="Arial" w:eastAsia="Arial" w:hAnsi="Arial" w:cs="Arial"/>
                <w:sz w:val="16"/>
                <w:szCs w:val="16"/>
                <w:lang w:val="cs-CZ"/>
              </w:rPr>
            </w:pPr>
            <w:r w:rsidRPr="00CC03D5">
              <w:rPr>
                <w:rFonts w:ascii="Arial" w:eastAsia="Arial" w:hAnsi="Arial" w:cs="Arial"/>
                <w:b/>
                <w:bCs/>
                <w:spacing w:val="-1"/>
                <w:sz w:val="16"/>
                <w:szCs w:val="16"/>
                <w:lang w:val="cs-CZ"/>
              </w:rPr>
              <w:t>14</w:t>
            </w:r>
          </w:p>
        </w:tc>
        <w:tc>
          <w:tcPr>
            <w:tcW w:w="1168" w:type="dxa"/>
            <w:shd w:val="clear" w:color="auto" w:fill="D9D9D9" w:themeFill="background1" w:themeFillShade="D9"/>
            <w:vAlign w:val="center"/>
          </w:tcPr>
          <w:p w14:paraId="6D54187C" w14:textId="77777777" w:rsidR="00170B66" w:rsidRPr="00CC03D5" w:rsidRDefault="00170B66" w:rsidP="000A162D">
            <w:pPr>
              <w:pStyle w:val="TableParagraph"/>
              <w:rPr>
                <w:rFonts w:ascii="Arial" w:eastAsia="Arial" w:hAnsi="Arial" w:cs="Arial"/>
                <w:sz w:val="16"/>
                <w:szCs w:val="16"/>
                <w:lang w:val="cs-CZ"/>
              </w:rPr>
            </w:pPr>
            <w:proofErr w:type="spellStart"/>
            <w:r w:rsidRPr="00CC03D5">
              <w:rPr>
                <w:rFonts w:ascii="Arial" w:eastAsia="Arial" w:hAnsi="Arial" w:cs="Arial"/>
                <w:b/>
                <w:bCs/>
                <w:sz w:val="16"/>
                <w:szCs w:val="16"/>
                <w:lang w:val="cs-CZ"/>
              </w:rPr>
              <w:t>p,p</w:t>
            </w:r>
            <w:r w:rsidRPr="00CC03D5">
              <w:rPr>
                <w:rFonts w:ascii="Arial" w:eastAsia="Arial" w:hAnsi="Arial" w:cs="Arial"/>
                <w:b/>
                <w:bCs/>
                <w:spacing w:val="-1"/>
                <w:sz w:val="16"/>
                <w:szCs w:val="16"/>
                <w:lang w:val="cs-CZ"/>
              </w:rPr>
              <w:t>´DDD</w:t>
            </w:r>
            <w:proofErr w:type="spellEnd"/>
          </w:p>
        </w:tc>
        <w:tc>
          <w:tcPr>
            <w:tcW w:w="828" w:type="dxa"/>
            <w:shd w:val="clear" w:color="auto" w:fill="D9D9D9" w:themeFill="background1" w:themeFillShade="D9"/>
            <w:vAlign w:val="center"/>
          </w:tcPr>
          <w:p w14:paraId="4E3C4575" w14:textId="77777777" w:rsidR="00170B66" w:rsidRPr="00CC03D5" w:rsidRDefault="00170B66" w:rsidP="000A162D">
            <w:pPr>
              <w:pStyle w:val="TableParagraph"/>
              <w:jc w:val="center"/>
              <w:rPr>
                <w:rFonts w:ascii="Arial" w:eastAsia="Arial" w:hAnsi="Arial" w:cs="Arial"/>
                <w:sz w:val="16"/>
                <w:szCs w:val="16"/>
                <w:lang w:val="cs-CZ"/>
              </w:rPr>
            </w:pPr>
            <w:proofErr w:type="spellStart"/>
            <w:r w:rsidRPr="00CC03D5">
              <w:rPr>
                <w:rFonts w:ascii="Arial" w:eastAsia="Arial" w:hAnsi="Arial" w:cs="Arial"/>
                <w:b/>
                <w:bCs/>
                <w:sz w:val="16"/>
                <w:szCs w:val="16"/>
                <w:lang w:val="cs-CZ"/>
              </w:rPr>
              <w:t>μg</w:t>
            </w:r>
            <w:proofErr w:type="spellEnd"/>
            <w:r w:rsidRPr="00CC03D5">
              <w:rPr>
                <w:rFonts w:ascii="Arial" w:eastAsia="Arial" w:hAnsi="Arial" w:cs="Arial"/>
                <w:b/>
                <w:bCs/>
                <w:sz w:val="16"/>
                <w:szCs w:val="16"/>
                <w:lang w:val="cs-CZ"/>
              </w:rPr>
              <w:t>/</w:t>
            </w:r>
            <w:r w:rsidRPr="00CC03D5">
              <w:rPr>
                <w:rFonts w:ascii="Arial" w:eastAsia="Arial" w:hAnsi="Arial" w:cs="Arial"/>
                <w:b/>
                <w:bCs/>
                <w:spacing w:val="-1"/>
                <w:sz w:val="16"/>
                <w:szCs w:val="16"/>
                <w:lang w:val="cs-CZ"/>
              </w:rPr>
              <w:t>kg</w:t>
            </w:r>
          </w:p>
        </w:tc>
        <w:tc>
          <w:tcPr>
            <w:tcW w:w="1480" w:type="dxa"/>
            <w:gridSpan w:val="2"/>
            <w:tcBorders>
              <w:bottom w:val="single" w:sz="4" w:space="0" w:color="auto"/>
            </w:tcBorders>
            <w:shd w:val="clear" w:color="auto" w:fill="D9D9D9" w:themeFill="background1" w:themeFillShade="D9"/>
            <w:vAlign w:val="center"/>
          </w:tcPr>
          <w:p w14:paraId="79416F72" w14:textId="77777777" w:rsidR="00170B66" w:rsidRPr="00CC03D5" w:rsidRDefault="00170B66" w:rsidP="000A162D">
            <w:pPr>
              <w:pStyle w:val="TableParagraph"/>
              <w:jc w:val="center"/>
              <w:rPr>
                <w:rFonts w:ascii="Arial" w:eastAsia="Arial" w:hAnsi="Arial" w:cs="Arial"/>
                <w:spacing w:val="-1"/>
                <w:sz w:val="16"/>
                <w:szCs w:val="16"/>
                <w:lang w:val="cs-CZ"/>
              </w:rPr>
            </w:pPr>
            <w:r w:rsidRPr="00CC03D5">
              <w:rPr>
                <w:rFonts w:ascii="Arial" w:eastAsia="Arial" w:hAnsi="Arial" w:cs="Arial"/>
                <w:b/>
                <w:bCs/>
                <w:spacing w:val="-1"/>
                <w:sz w:val="16"/>
                <w:szCs w:val="16"/>
                <w:lang w:val="cs-CZ"/>
              </w:rPr>
              <w:t>0</w:t>
            </w:r>
            <w:r w:rsidRPr="00CC03D5">
              <w:rPr>
                <w:rFonts w:ascii="Arial" w:eastAsia="Arial" w:hAnsi="Arial" w:cs="Arial"/>
                <w:b/>
                <w:bCs/>
                <w:sz w:val="16"/>
                <w:szCs w:val="16"/>
                <w:lang w:val="cs-CZ"/>
              </w:rPr>
              <w:t>,</w:t>
            </w:r>
            <w:r w:rsidRPr="00CC03D5">
              <w:rPr>
                <w:rFonts w:ascii="Arial" w:eastAsia="Arial" w:hAnsi="Arial" w:cs="Arial"/>
                <w:b/>
                <w:bCs/>
                <w:spacing w:val="-1"/>
                <w:sz w:val="16"/>
                <w:szCs w:val="16"/>
                <w:lang w:val="cs-CZ"/>
              </w:rPr>
              <w:t>06</w:t>
            </w:r>
          </w:p>
        </w:tc>
        <w:tc>
          <w:tcPr>
            <w:tcW w:w="1752" w:type="dxa"/>
            <w:tcBorders>
              <w:bottom w:val="single" w:sz="4" w:space="0" w:color="auto"/>
            </w:tcBorders>
            <w:shd w:val="clear" w:color="auto" w:fill="D9D9D9" w:themeFill="background1" w:themeFillShade="D9"/>
            <w:vAlign w:val="center"/>
          </w:tcPr>
          <w:p w14:paraId="5E5D4F5D" w14:textId="77777777" w:rsidR="00170B66" w:rsidRPr="00CC03D5" w:rsidRDefault="00170B66" w:rsidP="000A162D">
            <w:pPr>
              <w:pStyle w:val="TableParagraph"/>
              <w:jc w:val="center"/>
              <w:rPr>
                <w:rFonts w:ascii="Arial" w:eastAsia="Arial" w:hAnsi="Arial" w:cs="Arial"/>
                <w:sz w:val="16"/>
                <w:szCs w:val="16"/>
                <w:lang w:val="cs-CZ"/>
              </w:rPr>
            </w:pPr>
            <w:r w:rsidRPr="00CC03D5">
              <w:rPr>
                <w:rFonts w:ascii="Arial" w:eastAsia="Arial" w:hAnsi="Arial" w:cs="Arial"/>
                <w:spacing w:val="-1"/>
                <w:sz w:val="16"/>
                <w:szCs w:val="16"/>
                <w:lang w:val="cs-CZ"/>
              </w:rPr>
              <w:t>d</w:t>
            </w:r>
            <w:r w:rsidRPr="00CC03D5">
              <w:rPr>
                <w:rFonts w:ascii="Arial" w:eastAsia="Arial" w:hAnsi="Arial" w:cs="Arial"/>
                <w:sz w:val="16"/>
                <w:szCs w:val="16"/>
                <w:lang w:val="cs-CZ"/>
              </w:rPr>
              <w:t xml:space="preserve">e </w:t>
            </w:r>
            <w:proofErr w:type="spellStart"/>
            <w:proofErr w:type="gramStart"/>
            <w:r w:rsidRPr="00CC03D5">
              <w:rPr>
                <w:rFonts w:ascii="Arial" w:eastAsia="Arial" w:hAnsi="Arial" w:cs="Arial"/>
                <w:spacing w:val="-1"/>
                <w:sz w:val="16"/>
                <w:szCs w:val="16"/>
                <w:lang w:val="cs-CZ"/>
              </w:rPr>
              <w:t>De</w:t>
            </w:r>
            <w:r w:rsidRPr="00CC03D5">
              <w:rPr>
                <w:rFonts w:ascii="Arial" w:eastAsia="Arial" w:hAnsi="Arial" w:cs="Arial"/>
                <w:spacing w:val="1"/>
                <w:sz w:val="16"/>
                <w:szCs w:val="16"/>
                <w:lang w:val="cs-CZ"/>
              </w:rPr>
              <w:t>ck</w:t>
            </w:r>
            <w:r w:rsidRPr="00CC03D5">
              <w:rPr>
                <w:rFonts w:ascii="Arial" w:eastAsia="Arial" w:hAnsi="Arial" w:cs="Arial"/>
                <w:spacing w:val="-1"/>
                <w:sz w:val="16"/>
                <w:szCs w:val="16"/>
                <w:lang w:val="cs-CZ"/>
              </w:rPr>
              <w:t>er</w:t>
            </w:r>
            <w:r w:rsidRPr="00CC03D5">
              <w:rPr>
                <w:rFonts w:ascii="Arial" w:eastAsia="Arial" w:hAnsi="Arial" w:cs="Arial"/>
                <w:sz w:val="16"/>
                <w:szCs w:val="16"/>
                <w:lang w:val="cs-CZ"/>
              </w:rPr>
              <w:t>e</w:t>
            </w:r>
            <w:proofErr w:type="spellEnd"/>
            <w:proofErr w:type="gramEnd"/>
          </w:p>
        </w:tc>
        <w:tc>
          <w:tcPr>
            <w:tcW w:w="2694" w:type="dxa"/>
            <w:tcBorders>
              <w:bottom w:val="single" w:sz="4" w:space="0" w:color="auto"/>
            </w:tcBorders>
            <w:shd w:val="clear" w:color="auto" w:fill="D9D9D9" w:themeFill="background1" w:themeFillShade="D9"/>
            <w:vAlign w:val="center"/>
          </w:tcPr>
          <w:p w14:paraId="3CBA92CE" w14:textId="77777777" w:rsidR="00170B66" w:rsidRPr="00CC03D5" w:rsidRDefault="00170B66" w:rsidP="000A162D">
            <w:pPr>
              <w:pStyle w:val="TableParagraph"/>
              <w:jc w:val="center"/>
              <w:rPr>
                <w:rFonts w:ascii="Arial" w:eastAsia="Calibri" w:hAnsi="Arial" w:cs="Arial"/>
                <w:sz w:val="16"/>
                <w:szCs w:val="16"/>
                <w:lang w:val="cs-CZ"/>
              </w:rPr>
            </w:pPr>
            <w:r w:rsidRPr="00CC03D5">
              <w:rPr>
                <w:rFonts w:ascii="Arial" w:hAnsi="Arial" w:cs="Arial"/>
                <w:spacing w:val="-1"/>
                <w:sz w:val="16"/>
                <w:szCs w:val="16"/>
                <w:lang w:val="cs-CZ"/>
              </w:rPr>
              <w:t>FGG Elbe 2013 / IKSE 2014</w:t>
            </w:r>
          </w:p>
        </w:tc>
        <w:tc>
          <w:tcPr>
            <w:tcW w:w="1559" w:type="dxa"/>
            <w:gridSpan w:val="2"/>
            <w:tcBorders>
              <w:bottom w:val="single" w:sz="4" w:space="0" w:color="auto"/>
            </w:tcBorders>
            <w:shd w:val="clear" w:color="auto" w:fill="D9D9D9" w:themeFill="background1" w:themeFillShade="D9"/>
            <w:vAlign w:val="center"/>
          </w:tcPr>
          <w:p w14:paraId="5C9EB184" w14:textId="77777777" w:rsidR="00170B66" w:rsidRPr="00CC03D5" w:rsidRDefault="00170B66" w:rsidP="000A162D">
            <w:pPr>
              <w:pStyle w:val="TableParagraph"/>
              <w:jc w:val="center"/>
              <w:rPr>
                <w:rFonts w:ascii="Arial" w:eastAsia="Arial" w:hAnsi="Arial" w:cs="Arial"/>
                <w:spacing w:val="-1"/>
                <w:sz w:val="16"/>
                <w:szCs w:val="16"/>
                <w:lang w:val="cs-CZ"/>
              </w:rPr>
            </w:pPr>
            <w:r w:rsidRPr="00CC03D5">
              <w:rPr>
                <w:rFonts w:ascii="Arial" w:eastAsia="Arial" w:hAnsi="Arial" w:cs="Arial"/>
                <w:b/>
                <w:bCs/>
                <w:spacing w:val="-1"/>
                <w:sz w:val="16"/>
                <w:szCs w:val="16"/>
                <w:lang w:val="cs-CZ"/>
              </w:rPr>
              <w:t>3</w:t>
            </w:r>
            <w:r w:rsidRPr="00CC03D5">
              <w:rPr>
                <w:rFonts w:ascii="Arial" w:eastAsia="Arial" w:hAnsi="Arial" w:cs="Arial"/>
                <w:b/>
                <w:bCs/>
                <w:sz w:val="16"/>
                <w:szCs w:val="16"/>
                <w:lang w:val="cs-CZ"/>
              </w:rPr>
              <w:t>,2</w:t>
            </w:r>
          </w:p>
        </w:tc>
        <w:tc>
          <w:tcPr>
            <w:tcW w:w="1559" w:type="dxa"/>
            <w:tcBorders>
              <w:bottom w:val="single" w:sz="4" w:space="0" w:color="auto"/>
            </w:tcBorders>
            <w:shd w:val="clear" w:color="auto" w:fill="D9D9D9" w:themeFill="background1" w:themeFillShade="D9"/>
            <w:vAlign w:val="center"/>
          </w:tcPr>
          <w:p w14:paraId="4F0CF622" w14:textId="77777777" w:rsidR="00170B66" w:rsidRPr="00CC03D5" w:rsidRDefault="00170B66" w:rsidP="000A162D">
            <w:pPr>
              <w:pStyle w:val="TableParagraph"/>
              <w:jc w:val="center"/>
              <w:rPr>
                <w:rFonts w:ascii="Arial" w:eastAsia="Arial" w:hAnsi="Arial" w:cs="Arial"/>
                <w:sz w:val="16"/>
                <w:szCs w:val="16"/>
                <w:lang w:val="cs-CZ"/>
              </w:rPr>
            </w:pPr>
            <w:r w:rsidRPr="00CC03D5">
              <w:rPr>
                <w:rFonts w:ascii="Arial" w:eastAsia="Arial" w:hAnsi="Arial" w:cs="Arial"/>
                <w:spacing w:val="-1"/>
                <w:sz w:val="16"/>
                <w:szCs w:val="16"/>
                <w:lang w:val="cs-CZ"/>
              </w:rPr>
              <w:t>d</w:t>
            </w:r>
            <w:r w:rsidRPr="00CC03D5">
              <w:rPr>
                <w:rFonts w:ascii="Arial" w:eastAsia="Arial" w:hAnsi="Arial" w:cs="Arial"/>
                <w:sz w:val="16"/>
                <w:szCs w:val="16"/>
                <w:lang w:val="cs-CZ"/>
              </w:rPr>
              <w:t xml:space="preserve">e </w:t>
            </w:r>
            <w:proofErr w:type="spellStart"/>
            <w:proofErr w:type="gramStart"/>
            <w:r w:rsidRPr="00CC03D5">
              <w:rPr>
                <w:rFonts w:ascii="Arial" w:eastAsia="Arial" w:hAnsi="Arial" w:cs="Arial"/>
                <w:spacing w:val="-1"/>
                <w:sz w:val="16"/>
                <w:szCs w:val="16"/>
                <w:lang w:val="cs-CZ"/>
              </w:rPr>
              <w:t>De</w:t>
            </w:r>
            <w:r w:rsidRPr="00CC03D5">
              <w:rPr>
                <w:rFonts w:ascii="Arial" w:eastAsia="Arial" w:hAnsi="Arial" w:cs="Arial"/>
                <w:spacing w:val="1"/>
                <w:sz w:val="16"/>
                <w:szCs w:val="16"/>
                <w:lang w:val="cs-CZ"/>
              </w:rPr>
              <w:t>ck</w:t>
            </w:r>
            <w:r w:rsidRPr="00CC03D5">
              <w:rPr>
                <w:rFonts w:ascii="Arial" w:eastAsia="Arial" w:hAnsi="Arial" w:cs="Arial"/>
                <w:spacing w:val="-1"/>
                <w:sz w:val="16"/>
                <w:szCs w:val="16"/>
                <w:lang w:val="cs-CZ"/>
              </w:rPr>
              <w:t>er</w:t>
            </w:r>
            <w:r w:rsidRPr="00CC03D5">
              <w:rPr>
                <w:rFonts w:ascii="Arial" w:eastAsia="Arial" w:hAnsi="Arial" w:cs="Arial"/>
                <w:sz w:val="16"/>
                <w:szCs w:val="16"/>
                <w:lang w:val="cs-CZ"/>
              </w:rPr>
              <w:t>e</w:t>
            </w:r>
            <w:proofErr w:type="spellEnd"/>
            <w:proofErr w:type="gramEnd"/>
          </w:p>
        </w:tc>
        <w:tc>
          <w:tcPr>
            <w:tcW w:w="2552" w:type="dxa"/>
            <w:tcBorders>
              <w:bottom w:val="single" w:sz="4" w:space="0" w:color="auto"/>
            </w:tcBorders>
            <w:shd w:val="clear" w:color="auto" w:fill="D9D9D9" w:themeFill="background1" w:themeFillShade="D9"/>
            <w:vAlign w:val="center"/>
          </w:tcPr>
          <w:p w14:paraId="3F4B66BF" w14:textId="77777777" w:rsidR="00170B66" w:rsidRPr="00CC03D5" w:rsidRDefault="00170B66" w:rsidP="000A162D">
            <w:pPr>
              <w:pStyle w:val="TableParagraph"/>
              <w:jc w:val="center"/>
              <w:rPr>
                <w:rFonts w:ascii="Arial" w:eastAsia="Calibri" w:hAnsi="Arial" w:cs="Arial"/>
                <w:sz w:val="16"/>
                <w:szCs w:val="16"/>
                <w:lang w:val="cs-CZ"/>
              </w:rPr>
            </w:pPr>
            <w:r w:rsidRPr="00CC03D5">
              <w:rPr>
                <w:rFonts w:ascii="Arial" w:hAnsi="Arial" w:cs="Arial"/>
                <w:spacing w:val="-1"/>
                <w:sz w:val="16"/>
                <w:szCs w:val="16"/>
                <w:lang w:val="cs-CZ"/>
              </w:rPr>
              <w:t>FGG Elbe 2013 / IKSE 2014</w:t>
            </w:r>
          </w:p>
        </w:tc>
      </w:tr>
      <w:tr w:rsidR="00170B66" w:rsidRPr="00CC03D5" w14:paraId="71769405" w14:textId="77777777" w:rsidTr="00733615">
        <w:trPr>
          <w:cantSplit/>
        </w:trPr>
        <w:tc>
          <w:tcPr>
            <w:tcW w:w="0" w:type="auto"/>
            <w:tcBorders>
              <w:bottom w:val="single" w:sz="4" w:space="0" w:color="auto"/>
            </w:tcBorders>
            <w:vAlign w:val="center"/>
          </w:tcPr>
          <w:p w14:paraId="14843170" w14:textId="77777777" w:rsidR="00170B66" w:rsidRPr="00CC03D5" w:rsidRDefault="00170B66" w:rsidP="000A162D">
            <w:pPr>
              <w:pStyle w:val="TableParagraph"/>
              <w:jc w:val="center"/>
              <w:rPr>
                <w:rFonts w:ascii="Arial" w:eastAsia="Arial" w:hAnsi="Arial" w:cs="Arial"/>
                <w:sz w:val="16"/>
                <w:szCs w:val="16"/>
                <w:lang w:val="cs-CZ"/>
              </w:rPr>
            </w:pPr>
            <w:r w:rsidRPr="00CC03D5">
              <w:rPr>
                <w:rFonts w:ascii="Arial" w:eastAsia="Arial" w:hAnsi="Arial" w:cs="Arial"/>
                <w:b/>
                <w:bCs/>
                <w:spacing w:val="-1"/>
                <w:sz w:val="16"/>
                <w:szCs w:val="16"/>
                <w:lang w:val="cs-CZ"/>
              </w:rPr>
              <w:t>15</w:t>
            </w:r>
          </w:p>
        </w:tc>
        <w:tc>
          <w:tcPr>
            <w:tcW w:w="1168" w:type="dxa"/>
            <w:tcBorders>
              <w:bottom w:val="single" w:sz="4" w:space="0" w:color="auto"/>
            </w:tcBorders>
            <w:vAlign w:val="center"/>
          </w:tcPr>
          <w:p w14:paraId="2E696197" w14:textId="77777777" w:rsidR="00170B66" w:rsidRPr="00CC03D5" w:rsidRDefault="00170B66" w:rsidP="000A162D">
            <w:pPr>
              <w:pStyle w:val="TableParagraph"/>
              <w:rPr>
                <w:rFonts w:ascii="Arial" w:eastAsia="Arial" w:hAnsi="Arial" w:cs="Arial"/>
                <w:sz w:val="16"/>
                <w:szCs w:val="16"/>
                <w:lang w:val="cs-CZ"/>
              </w:rPr>
            </w:pPr>
            <w:r w:rsidRPr="00CC03D5">
              <w:rPr>
                <w:rFonts w:ascii="Arial" w:eastAsia="Arial" w:hAnsi="Arial" w:cs="Arial"/>
                <w:b/>
                <w:bCs/>
                <w:sz w:val="16"/>
                <w:szCs w:val="16"/>
                <w:lang w:val="cs-CZ"/>
              </w:rPr>
              <w:t>P</w:t>
            </w:r>
            <w:r w:rsidRPr="00CC03D5">
              <w:rPr>
                <w:rFonts w:ascii="Arial" w:eastAsia="Arial" w:hAnsi="Arial" w:cs="Arial"/>
                <w:b/>
                <w:bCs/>
                <w:spacing w:val="-1"/>
                <w:sz w:val="16"/>
                <w:szCs w:val="16"/>
                <w:lang w:val="cs-CZ"/>
              </w:rPr>
              <w:t>CB-28</w:t>
            </w:r>
          </w:p>
        </w:tc>
        <w:tc>
          <w:tcPr>
            <w:tcW w:w="828" w:type="dxa"/>
            <w:tcBorders>
              <w:bottom w:val="single" w:sz="4" w:space="0" w:color="auto"/>
            </w:tcBorders>
            <w:vAlign w:val="center"/>
          </w:tcPr>
          <w:p w14:paraId="1BD1B7C6" w14:textId="77777777" w:rsidR="00170B66" w:rsidRPr="00CC03D5" w:rsidRDefault="00170B66" w:rsidP="000A162D">
            <w:pPr>
              <w:pStyle w:val="TableParagraph"/>
              <w:jc w:val="center"/>
              <w:rPr>
                <w:rFonts w:ascii="Arial" w:eastAsia="Arial" w:hAnsi="Arial" w:cs="Arial"/>
                <w:sz w:val="16"/>
                <w:szCs w:val="16"/>
                <w:lang w:val="cs-CZ"/>
              </w:rPr>
            </w:pPr>
            <w:proofErr w:type="spellStart"/>
            <w:r w:rsidRPr="00CC03D5">
              <w:rPr>
                <w:rFonts w:ascii="Arial" w:eastAsia="Arial" w:hAnsi="Arial" w:cs="Arial"/>
                <w:b/>
                <w:bCs/>
                <w:sz w:val="16"/>
                <w:szCs w:val="16"/>
                <w:lang w:val="cs-CZ"/>
              </w:rPr>
              <w:t>μg</w:t>
            </w:r>
            <w:proofErr w:type="spellEnd"/>
            <w:r w:rsidRPr="00CC03D5">
              <w:rPr>
                <w:rFonts w:ascii="Arial" w:eastAsia="Arial" w:hAnsi="Arial" w:cs="Arial"/>
                <w:b/>
                <w:bCs/>
                <w:sz w:val="16"/>
                <w:szCs w:val="16"/>
                <w:lang w:val="cs-CZ"/>
              </w:rPr>
              <w:t>/</w:t>
            </w:r>
            <w:r w:rsidRPr="00CC03D5">
              <w:rPr>
                <w:rFonts w:ascii="Arial" w:eastAsia="Arial" w:hAnsi="Arial" w:cs="Arial"/>
                <w:b/>
                <w:bCs/>
                <w:spacing w:val="-1"/>
                <w:sz w:val="16"/>
                <w:szCs w:val="16"/>
                <w:lang w:val="cs-CZ"/>
              </w:rPr>
              <w:t>kg</w:t>
            </w:r>
          </w:p>
        </w:tc>
        <w:tc>
          <w:tcPr>
            <w:tcW w:w="1480" w:type="dxa"/>
            <w:gridSpan w:val="2"/>
            <w:tcBorders>
              <w:bottom w:val="single" w:sz="4" w:space="0" w:color="auto"/>
            </w:tcBorders>
            <w:shd w:val="clear" w:color="auto" w:fill="CAFBA5"/>
            <w:vAlign w:val="center"/>
          </w:tcPr>
          <w:p w14:paraId="5783D935" w14:textId="77777777" w:rsidR="00170B66" w:rsidRPr="00CC03D5" w:rsidRDefault="00170B66" w:rsidP="000A162D">
            <w:pPr>
              <w:pStyle w:val="TableParagraph"/>
              <w:jc w:val="center"/>
              <w:rPr>
                <w:rFonts w:ascii="Arial" w:eastAsia="Arial" w:hAnsi="Arial" w:cs="Arial"/>
                <w:spacing w:val="-1"/>
                <w:sz w:val="16"/>
                <w:szCs w:val="16"/>
                <w:lang w:val="cs-CZ"/>
              </w:rPr>
            </w:pPr>
            <w:r w:rsidRPr="00CC03D5">
              <w:rPr>
                <w:rFonts w:ascii="Arial" w:eastAsia="Arial" w:hAnsi="Arial" w:cs="Arial"/>
                <w:b/>
                <w:bCs/>
                <w:spacing w:val="-1"/>
                <w:sz w:val="16"/>
                <w:szCs w:val="16"/>
                <w:lang w:val="cs-CZ"/>
              </w:rPr>
              <w:t>0</w:t>
            </w:r>
            <w:r w:rsidRPr="00CC03D5">
              <w:rPr>
                <w:rFonts w:ascii="Arial" w:eastAsia="Arial" w:hAnsi="Arial" w:cs="Arial"/>
                <w:b/>
                <w:bCs/>
                <w:sz w:val="16"/>
                <w:szCs w:val="16"/>
                <w:lang w:val="cs-CZ"/>
              </w:rPr>
              <w:t>,</w:t>
            </w:r>
            <w:r w:rsidRPr="00CC03D5">
              <w:rPr>
                <w:rFonts w:ascii="Arial" w:eastAsia="Arial" w:hAnsi="Arial" w:cs="Arial"/>
                <w:b/>
                <w:bCs/>
                <w:spacing w:val="-1"/>
                <w:sz w:val="16"/>
                <w:szCs w:val="16"/>
                <w:lang w:val="cs-CZ"/>
              </w:rPr>
              <w:t>04</w:t>
            </w:r>
          </w:p>
        </w:tc>
        <w:tc>
          <w:tcPr>
            <w:tcW w:w="1752" w:type="dxa"/>
            <w:tcBorders>
              <w:bottom w:val="single" w:sz="4" w:space="0" w:color="auto"/>
            </w:tcBorders>
            <w:shd w:val="clear" w:color="auto" w:fill="CAFBA5"/>
            <w:vAlign w:val="center"/>
          </w:tcPr>
          <w:p w14:paraId="78309B85" w14:textId="77777777" w:rsidR="00170B66" w:rsidRPr="00CC03D5" w:rsidRDefault="00170B66" w:rsidP="000A162D">
            <w:pPr>
              <w:pStyle w:val="TableParagraph"/>
              <w:jc w:val="center"/>
              <w:rPr>
                <w:rFonts w:ascii="Arial" w:eastAsia="Arial" w:hAnsi="Arial" w:cs="Arial"/>
                <w:sz w:val="16"/>
                <w:szCs w:val="16"/>
                <w:lang w:val="cs-CZ"/>
              </w:rPr>
            </w:pPr>
            <w:r w:rsidRPr="00CC03D5">
              <w:rPr>
                <w:rFonts w:ascii="Arial" w:eastAsia="Arial" w:hAnsi="Arial" w:cs="Arial"/>
                <w:spacing w:val="-1"/>
                <w:sz w:val="16"/>
                <w:szCs w:val="16"/>
                <w:lang w:val="cs-CZ"/>
              </w:rPr>
              <w:t>d</w:t>
            </w:r>
            <w:r w:rsidRPr="00CC03D5">
              <w:rPr>
                <w:rFonts w:ascii="Arial" w:eastAsia="Arial" w:hAnsi="Arial" w:cs="Arial"/>
                <w:sz w:val="16"/>
                <w:szCs w:val="16"/>
                <w:lang w:val="cs-CZ"/>
              </w:rPr>
              <w:t xml:space="preserve">e </w:t>
            </w:r>
            <w:proofErr w:type="spellStart"/>
            <w:proofErr w:type="gramStart"/>
            <w:r w:rsidRPr="00CC03D5">
              <w:rPr>
                <w:rFonts w:ascii="Arial" w:eastAsia="Arial" w:hAnsi="Arial" w:cs="Arial"/>
                <w:spacing w:val="-1"/>
                <w:sz w:val="16"/>
                <w:szCs w:val="16"/>
                <w:lang w:val="cs-CZ"/>
              </w:rPr>
              <w:t>De</w:t>
            </w:r>
            <w:r w:rsidRPr="00CC03D5">
              <w:rPr>
                <w:rFonts w:ascii="Arial" w:eastAsia="Arial" w:hAnsi="Arial" w:cs="Arial"/>
                <w:spacing w:val="1"/>
                <w:sz w:val="16"/>
                <w:szCs w:val="16"/>
                <w:lang w:val="cs-CZ"/>
              </w:rPr>
              <w:t>ck</w:t>
            </w:r>
            <w:r w:rsidRPr="00CC03D5">
              <w:rPr>
                <w:rFonts w:ascii="Arial" w:eastAsia="Arial" w:hAnsi="Arial" w:cs="Arial"/>
                <w:spacing w:val="-1"/>
                <w:sz w:val="16"/>
                <w:szCs w:val="16"/>
                <w:lang w:val="cs-CZ"/>
              </w:rPr>
              <w:t>er</w:t>
            </w:r>
            <w:r w:rsidRPr="00CC03D5">
              <w:rPr>
                <w:rFonts w:ascii="Arial" w:eastAsia="Arial" w:hAnsi="Arial" w:cs="Arial"/>
                <w:sz w:val="16"/>
                <w:szCs w:val="16"/>
                <w:lang w:val="cs-CZ"/>
              </w:rPr>
              <w:t>e</w:t>
            </w:r>
            <w:proofErr w:type="spellEnd"/>
            <w:proofErr w:type="gramEnd"/>
          </w:p>
        </w:tc>
        <w:tc>
          <w:tcPr>
            <w:tcW w:w="2694" w:type="dxa"/>
            <w:tcBorders>
              <w:bottom w:val="single" w:sz="4" w:space="0" w:color="auto"/>
            </w:tcBorders>
            <w:shd w:val="clear" w:color="auto" w:fill="CAFBA5"/>
            <w:vAlign w:val="center"/>
          </w:tcPr>
          <w:p w14:paraId="7BCB3247" w14:textId="77777777" w:rsidR="00170B66" w:rsidRPr="00CC03D5" w:rsidRDefault="00170B66" w:rsidP="000A162D">
            <w:pPr>
              <w:pStyle w:val="TableParagraph"/>
              <w:jc w:val="center"/>
              <w:rPr>
                <w:rFonts w:ascii="Arial" w:eastAsia="Calibri" w:hAnsi="Arial" w:cs="Arial"/>
                <w:sz w:val="16"/>
                <w:szCs w:val="16"/>
                <w:lang w:val="cs-CZ"/>
              </w:rPr>
            </w:pPr>
            <w:r w:rsidRPr="00CC03D5">
              <w:rPr>
                <w:rFonts w:ascii="Arial" w:hAnsi="Arial" w:cs="Arial"/>
                <w:spacing w:val="-1"/>
                <w:sz w:val="16"/>
                <w:szCs w:val="16"/>
                <w:lang w:val="cs-CZ"/>
              </w:rPr>
              <w:t>FGG Elbe 2013 / IKSE 2014</w:t>
            </w:r>
          </w:p>
        </w:tc>
        <w:tc>
          <w:tcPr>
            <w:tcW w:w="1559" w:type="dxa"/>
            <w:gridSpan w:val="2"/>
            <w:tcBorders>
              <w:bottom w:val="single" w:sz="4" w:space="0" w:color="auto"/>
            </w:tcBorders>
            <w:shd w:val="clear" w:color="auto" w:fill="F7CAAC" w:themeFill="accent2" w:themeFillTint="66"/>
            <w:vAlign w:val="center"/>
          </w:tcPr>
          <w:p w14:paraId="3D54BC76" w14:textId="77777777" w:rsidR="00170B66" w:rsidRPr="00CC03D5" w:rsidRDefault="00170B66" w:rsidP="000A162D">
            <w:pPr>
              <w:pStyle w:val="TableParagraph"/>
              <w:jc w:val="center"/>
              <w:rPr>
                <w:rFonts w:ascii="Arial" w:eastAsia="Arial" w:hAnsi="Arial" w:cs="Arial"/>
                <w:spacing w:val="-1"/>
                <w:sz w:val="16"/>
                <w:szCs w:val="16"/>
                <w:lang w:val="cs-CZ"/>
              </w:rPr>
            </w:pPr>
            <w:r w:rsidRPr="00CC03D5">
              <w:rPr>
                <w:rFonts w:ascii="Arial" w:eastAsia="Arial" w:hAnsi="Arial" w:cs="Arial"/>
                <w:b/>
                <w:bCs/>
                <w:spacing w:val="-1"/>
                <w:sz w:val="16"/>
                <w:szCs w:val="16"/>
                <w:lang w:val="cs-CZ"/>
              </w:rPr>
              <w:t>20</w:t>
            </w:r>
          </w:p>
        </w:tc>
        <w:tc>
          <w:tcPr>
            <w:tcW w:w="1559" w:type="dxa"/>
            <w:tcBorders>
              <w:bottom w:val="single" w:sz="4" w:space="0" w:color="auto"/>
            </w:tcBorders>
            <w:shd w:val="clear" w:color="auto" w:fill="F7CAAC" w:themeFill="accent2" w:themeFillTint="66"/>
            <w:vAlign w:val="center"/>
          </w:tcPr>
          <w:p w14:paraId="76CEDFA5" w14:textId="77777777" w:rsidR="00170B66" w:rsidRPr="00CC03D5" w:rsidRDefault="00170B66" w:rsidP="000A162D">
            <w:pPr>
              <w:pStyle w:val="TableParagraph"/>
              <w:jc w:val="center"/>
              <w:rPr>
                <w:rFonts w:ascii="Arial" w:eastAsia="Arial" w:hAnsi="Arial" w:cs="Arial"/>
                <w:sz w:val="16"/>
                <w:szCs w:val="16"/>
                <w:lang w:val="cs-CZ"/>
              </w:rPr>
            </w:pPr>
            <w:proofErr w:type="spellStart"/>
            <w:r w:rsidRPr="00CC03D5">
              <w:rPr>
                <w:rFonts w:ascii="Arial" w:eastAsia="Arial" w:hAnsi="Arial" w:cs="Arial"/>
                <w:spacing w:val="-1"/>
                <w:sz w:val="16"/>
                <w:szCs w:val="16"/>
                <w:lang w:val="cs-CZ"/>
              </w:rPr>
              <w:t>OGe</w:t>
            </w:r>
            <w:r w:rsidRPr="00CC03D5">
              <w:rPr>
                <w:rFonts w:ascii="Arial" w:eastAsia="Arial" w:hAnsi="Arial" w:cs="Arial"/>
                <w:spacing w:val="-4"/>
                <w:sz w:val="16"/>
                <w:szCs w:val="16"/>
                <w:lang w:val="cs-CZ"/>
              </w:rPr>
              <w:t>w</w:t>
            </w:r>
            <w:r w:rsidRPr="00CC03D5">
              <w:rPr>
                <w:rFonts w:ascii="Arial" w:eastAsia="Arial" w:hAnsi="Arial" w:cs="Arial"/>
                <w:sz w:val="16"/>
                <w:szCs w:val="16"/>
                <w:lang w:val="cs-CZ"/>
              </w:rPr>
              <w:t>V</w:t>
            </w:r>
            <w:proofErr w:type="spellEnd"/>
          </w:p>
        </w:tc>
        <w:tc>
          <w:tcPr>
            <w:tcW w:w="2552" w:type="dxa"/>
            <w:tcBorders>
              <w:bottom w:val="single" w:sz="4" w:space="0" w:color="auto"/>
            </w:tcBorders>
            <w:shd w:val="clear" w:color="auto" w:fill="F7CAAC" w:themeFill="accent2" w:themeFillTint="66"/>
            <w:vAlign w:val="center"/>
          </w:tcPr>
          <w:p w14:paraId="7966A28A" w14:textId="77777777" w:rsidR="00170B66" w:rsidRPr="00CC03D5" w:rsidRDefault="00170B66" w:rsidP="000A162D">
            <w:pPr>
              <w:pStyle w:val="TableParagraph"/>
              <w:jc w:val="center"/>
              <w:rPr>
                <w:rFonts w:ascii="Arial" w:eastAsia="Calibri" w:hAnsi="Arial" w:cs="Arial"/>
                <w:sz w:val="16"/>
                <w:szCs w:val="16"/>
                <w:lang w:val="cs-CZ"/>
              </w:rPr>
            </w:pPr>
            <w:r w:rsidRPr="00CC03D5">
              <w:rPr>
                <w:rFonts w:ascii="Arial" w:hAnsi="Arial" w:cs="Arial"/>
                <w:spacing w:val="-1"/>
                <w:sz w:val="16"/>
                <w:szCs w:val="16"/>
                <w:lang w:val="cs-CZ"/>
              </w:rPr>
              <w:t>FGG Elbe 2013 / IKSE 2014</w:t>
            </w:r>
          </w:p>
        </w:tc>
      </w:tr>
      <w:tr w:rsidR="00170B66" w:rsidRPr="00CC03D5" w14:paraId="5219FA14" w14:textId="77777777" w:rsidTr="00733615">
        <w:trPr>
          <w:cantSplit/>
        </w:trPr>
        <w:tc>
          <w:tcPr>
            <w:tcW w:w="0" w:type="auto"/>
            <w:shd w:val="clear" w:color="auto" w:fill="D9D9D9" w:themeFill="background1" w:themeFillShade="D9"/>
            <w:vAlign w:val="center"/>
          </w:tcPr>
          <w:p w14:paraId="6D1988D0" w14:textId="77777777" w:rsidR="00170B66" w:rsidRPr="00CC03D5" w:rsidRDefault="00170B66" w:rsidP="000A162D">
            <w:pPr>
              <w:pStyle w:val="TableParagraph"/>
              <w:jc w:val="center"/>
              <w:rPr>
                <w:rFonts w:ascii="Arial" w:eastAsia="Arial" w:hAnsi="Arial" w:cs="Arial"/>
                <w:sz w:val="16"/>
                <w:szCs w:val="16"/>
                <w:lang w:val="cs-CZ"/>
              </w:rPr>
            </w:pPr>
            <w:r w:rsidRPr="00CC03D5">
              <w:rPr>
                <w:rFonts w:ascii="Arial" w:eastAsia="Arial" w:hAnsi="Arial" w:cs="Arial"/>
                <w:b/>
                <w:bCs/>
                <w:spacing w:val="-1"/>
                <w:sz w:val="16"/>
                <w:szCs w:val="16"/>
                <w:lang w:val="cs-CZ"/>
              </w:rPr>
              <w:t>16</w:t>
            </w:r>
          </w:p>
        </w:tc>
        <w:tc>
          <w:tcPr>
            <w:tcW w:w="1168" w:type="dxa"/>
            <w:shd w:val="clear" w:color="auto" w:fill="D9D9D9" w:themeFill="background1" w:themeFillShade="D9"/>
            <w:vAlign w:val="center"/>
          </w:tcPr>
          <w:p w14:paraId="07A27D4A" w14:textId="77777777" w:rsidR="00170B66" w:rsidRPr="00CC03D5" w:rsidRDefault="00170B66" w:rsidP="000A162D">
            <w:pPr>
              <w:pStyle w:val="TableParagraph"/>
              <w:rPr>
                <w:rFonts w:ascii="Arial" w:eastAsia="Arial" w:hAnsi="Arial" w:cs="Arial"/>
                <w:sz w:val="16"/>
                <w:szCs w:val="16"/>
                <w:lang w:val="cs-CZ"/>
              </w:rPr>
            </w:pPr>
            <w:r w:rsidRPr="00CC03D5">
              <w:rPr>
                <w:rFonts w:ascii="Arial" w:eastAsia="Arial" w:hAnsi="Arial" w:cs="Arial"/>
                <w:b/>
                <w:bCs/>
                <w:sz w:val="16"/>
                <w:szCs w:val="16"/>
                <w:lang w:val="cs-CZ"/>
              </w:rPr>
              <w:t>P</w:t>
            </w:r>
            <w:r w:rsidRPr="00CC03D5">
              <w:rPr>
                <w:rFonts w:ascii="Arial" w:eastAsia="Arial" w:hAnsi="Arial" w:cs="Arial"/>
                <w:b/>
                <w:bCs/>
                <w:spacing w:val="-1"/>
                <w:sz w:val="16"/>
                <w:szCs w:val="16"/>
                <w:lang w:val="cs-CZ"/>
              </w:rPr>
              <w:t>CB-52</w:t>
            </w:r>
          </w:p>
        </w:tc>
        <w:tc>
          <w:tcPr>
            <w:tcW w:w="828" w:type="dxa"/>
            <w:shd w:val="clear" w:color="auto" w:fill="D9D9D9" w:themeFill="background1" w:themeFillShade="D9"/>
            <w:vAlign w:val="center"/>
          </w:tcPr>
          <w:p w14:paraId="7FAD3EBE" w14:textId="77777777" w:rsidR="00170B66" w:rsidRPr="00CC03D5" w:rsidRDefault="00170B66" w:rsidP="000A162D">
            <w:pPr>
              <w:pStyle w:val="TableParagraph"/>
              <w:jc w:val="center"/>
              <w:rPr>
                <w:rFonts w:ascii="Arial" w:eastAsia="Arial" w:hAnsi="Arial" w:cs="Arial"/>
                <w:sz w:val="16"/>
                <w:szCs w:val="16"/>
                <w:lang w:val="cs-CZ"/>
              </w:rPr>
            </w:pPr>
            <w:proofErr w:type="spellStart"/>
            <w:r w:rsidRPr="00CC03D5">
              <w:rPr>
                <w:rFonts w:ascii="Arial" w:eastAsia="Arial" w:hAnsi="Arial" w:cs="Arial"/>
                <w:b/>
                <w:bCs/>
                <w:sz w:val="16"/>
                <w:szCs w:val="16"/>
                <w:lang w:val="cs-CZ"/>
              </w:rPr>
              <w:t>μg</w:t>
            </w:r>
            <w:proofErr w:type="spellEnd"/>
            <w:r w:rsidRPr="00CC03D5">
              <w:rPr>
                <w:rFonts w:ascii="Arial" w:eastAsia="Arial" w:hAnsi="Arial" w:cs="Arial"/>
                <w:b/>
                <w:bCs/>
                <w:sz w:val="16"/>
                <w:szCs w:val="16"/>
                <w:lang w:val="cs-CZ"/>
              </w:rPr>
              <w:t>/</w:t>
            </w:r>
            <w:r w:rsidRPr="00CC03D5">
              <w:rPr>
                <w:rFonts w:ascii="Arial" w:eastAsia="Arial" w:hAnsi="Arial" w:cs="Arial"/>
                <w:b/>
                <w:bCs/>
                <w:spacing w:val="-1"/>
                <w:sz w:val="16"/>
                <w:szCs w:val="16"/>
                <w:lang w:val="cs-CZ"/>
              </w:rPr>
              <w:t>kg</w:t>
            </w:r>
          </w:p>
        </w:tc>
        <w:tc>
          <w:tcPr>
            <w:tcW w:w="1480" w:type="dxa"/>
            <w:gridSpan w:val="2"/>
            <w:tcBorders>
              <w:bottom w:val="single" w:sz="4" w:space="0" w:color="auto"/>
            </w:tcBorders>
            <w:shd w:val="clear" w:color="auto" w:fill="D9D9D9" w:themeFill="background1" w:themeFillShade="D9"/>
            <w:vAlign w:val="center"/>
          </w:tcPr>
          <w:p w14:paraId="344D0E70" w14:textId="77777777" w:rsidR="00170B66" w:rsidRPr="00CC03D5" w:rsidRDefault="00170B66" w:rsidP="000A162D">
            <w:pPr>
              <w:pStyle w:val="TableParagraph"/>
              <w:jc w:val="center"/>
              <w:rPr>
                <w:rFonts w:ascii="Arial" w:eastAsia="Arial" w:hAnsi="Arial" w:cs="Arial"/>
                <w:spacing w:val="-1"/>
                <w:sz w:val="16"/>
                <w:szCs w:val="16"/>
                <w:lang w:val="cs-CZ"/>
              </w:rPr>
            </w:pPr>
            <w:r w:rsidRPr="00CC03D5">
              <w:rPr>
                <w:rFonts w:ascii="Arial" w:eastAsia="Arial" w:hAnsi="Arial" w:cs="Arial"/>
                <w:b/>
                <w:bCs/>
                <w:spacing w:val="-1"/>
                <w:sz w:val="16"/>
                <w:szCs w:val="16"/>
                <w:lang w:val="cs-CZ"/>
              </w:rPr>
              <w:t>0</w:t>
            </w:r>
            <w:r w:rsidRPr="00CC03D5">
              <w:rPr>
                <w:rFonts w:ascii="Arial" w:eastAsia="Arial" w:hAnsi="Arial" w:cs="Arial"/>
                <w:b/>
                <w:bCs/>
                <w:sz w:val="16"/>
                <w:szCs w:val="16"/>
                <w:lang w:val="cs-CZ"/>
              </w:rPr>
              <w:t>,1</w:t>
            </w:r>
          </w:p>
        </w:tc>
        <w:tc>
          <w:tcPr>
            <w:tcW w:w="1752" w:type="dxa"/>
            <w:tcBorders>
              <w:bottom w:val="single" w:sz="4" w:space="0" w:color="auto"/>
            </w:tcBorders>
            <w:shd w:val="clear" w:color="auto" w:fill="D9D9D9" w:themeFill="background1" w:themeFillShade="D9"/>
            <w:vAlign w:val="center"/>
          </w:tcPr>
          <w:p w14:paraId="0B2FABA4" w14:textId="77777777" w:rsidR="00170B66" w:rsidRPr="00CC03D5" w:rsidRDefault="00170B66" w:rsidP="000A162D">
            <w:pPr>
              <w:pStyle w:val="TableParagraph"/>
              <w:jc w:val="center"/>
              <w:rPr>
                <w:rFonts w:ascii="Arial" w:eastAsia="Arial" w:hAnsi="Arial" w:cs="Arial"/>
                <w:sz w:val="16"/>
                <w:szCs w:val="16"/>
                <w:lang w:val="cs-CZ"/>
              </w:rPr>
            </w:pPr>
            <w:r w:rsidRPr="00CC03D5">
              <w:rPr>
                <w:rFonts w:ascii="Arial" w:eastAsia="Arial" w:hAnsi="Arial" w:cs="Arial"/>
                <w:spacing w:val="-1"/>
                <w:sz w:val="16"/>
                <w:szCs w:val="16"/>
                <w:lang w:val="cs-CZ"/>
              </w:rPr>
              <w:t>d</w:t>
            </w:r>
            <w:r w:rsidRPr="00CC03D5">
              <w:rPr>
                <w:rFonts w:ascii="Arial" w:eastAsia="Arial" w:hAnsi="Arial" w:cs="Arial"/>
                <w:sz w:val="16"/>
                <w:szCs w:val="16"/>
                <w:lang w:val="cs-CZ"/>
              </w:rPr>
              <w:t xml:space="preserve">e </w:t>
            </w:r>
            <w:proofErr w:type="spellStart"/>
            <w:proofErr w:type="gramStart"/>
            <w:r w:rsidRPr="00CC03D5">
              <w:rPr>
                <w:rFonts w:ascii="Arial" w:eastAsia="Arial" w:hAnsi="Arial" w:cs="Arial"/>
                <w:spacing w:val="-1"/>
                <w:sz w:val="16"/>
                <w:szCs w:val="16"/>
                <w:lang w:val="cs-CZ"/>
              </w:rPr>
              <w:t>De</w:t>
            </w:r>
            <w:r w:rsidRPr="00CC03D5">
              <w:rPr>
                <w:rFonts w:ascii="Arial" w:eastAsia="Arial" w:hAnsi="Arial" w:cs="Arial"/>
                <w:spacing w:val="1"/>
                <w:sz w:val="16"/>
                <w:szCs w:val="16"/>
                <w:lang w:val="cs-CZ"/>
              </w:rPr>
              <w:t>ck</w:t>
            </w:r>
            <w:r w:rsidRPr="00CC03D5">
              <w:rPr>
                <w:rFonts w:ascii="Arial" w:eastAsia="Arial" w:hAnsi="Arial" w:cs="Arial"/>
                <w:spacing w:val="-1"/>
                <w:sz w:val="16"/>
                <w:szCs w:val="16"/>
                <w:lang w:val="cs-CZ"/>
              </w:rPr>
              <w:t>er</w:t>
            </w:r>
            <w:r w:rsidRPr="00CC03D5">
              <w:rPr>
                <w:rFonts w:ascii="Arial" w:eastAsia="Arial" w:hAnsi="Arial" w:cs="Arial"/>
                <w:sz w:val="16"/>
                <w:szCs w:val="16"/>
                <w:lang w:val="cs-CZ"/>
              </w:rPr>
              <w:t>e</w:t>
            </w:r>
            <w:proofErr w:type="spellEnd"/>
            <w:proofErr w:type="gramEnd"/>
          </w:p>
        </w:tc>
        <w:tc>
          <w:tcPr>
            <w:tcW w:w="2694" w:type="dxa"/>
            <w:tcBorders>
              <w:bottom w:val="single" w:sz="4" w:space="0" w:color="auto"/>
            </w:tcBorders>
            <w:shd w:val="clear" w:color="auto" w:fill="D9D9D9" w:themeFill="background1" w:themeFillShade="D9"/>
            <w:vAlign w:val="center"/>
          </w:tcPr>
          <w:p w14:paraId="3ED87AF6" w14:textId="77777777" w:rsidR="00170B66" w:rsidRPr="00CC03D5" w:rsidRDefault="00170B66" w:rsidP="000A162D">
            <w:pPr>
              <w:pStyle w:val="TableParagraph"/>
              <w:jc w:val="center"/>
              <w:rPr>
                <w:rFonts w:ascii="Arial" w:eastAsia="Calibri" w:hAnsi="Arial" w:cs="Arial"/>
                <w:sz w:val="16"/>
                <w:szCs w:val="16"/>
                <w:lang w:val="cs-CZ"/>
              </w:rPr>
            </w:pPr>
            <w:r w:rsidRPr="00CC03D5">
              <w:rPr>
                <w:rFonts w:ascii="Arial" w:hAnsi="Arial" w:cs="Arial"/>
                <w:spacing w:val="-1"/>
                <w:sz w:val="16"/>
                <w:szCs w:val="16"/>
                <w:lang w:val="cs-CZ"/>
              </w:rPr>
              <w:t>FGG Elbe 2013 / IKSE 2014</w:t>
            </w:r>
          </w:p>
        </w:tc>
        <w:tc>
          <w:tcPr>
            <w:tcW w:w="1559" w:type="dxa"/>
            <w:gridSpan w:val="2"/>
            <w:tcBorders>
              <w:bottom w:val="single" w:sz="4" w:space="0" w:color="auto"/>
            </w:tcBorders>
            <w:shd w:val="clear" w:color="auto" w:fill="D9D9D9" w:themeFill="background1" w:themeFillShade="D9"/>
            <w:vAlign w:val="center"/>
          </w:tcPr>
          <w:p w14:paraId="11F1F4AE" w14:textId="77777777" w:rsidR="00170B66" w:rsidRPr="00CC03D5" w:rsidRDefault="00170B66" w:rsidP="000A162D">
            <w:pPr>
              <w:pStyle w:val="TableParagraph"/>
              <w:jc w:val="center"/>
              <w:rPr>
                <w:rFonts w:ascii="Arial" w:eastAsia="Arial" w:hAnsi="Arial" w:cs="Arial"/>
                <w:spacing w:val="-1"/>
                <w:sz w:val="16"/>
                <w:szCs w:val="16"/>
                <w:lang w:val="cs-CZ"/>
              </w:rPr>
            </w:pPr>
            <w:r w:rsidRPr="00CC03D5">
              <w:rPr>
                <w:rFonts w:ascii="Arial" w:eastAsia="Arial" w:hAnsi="Arial" w:cs="Arial"/>
                <w:b/>
                <w:bCs/>
                <w:spacing w:val="-1"/>
                <w:sz w:val="16"/>
                <w:szCs w:val="16"/>
                <w:lang w:val="cs-CZ"/>
              </w:rPr>
              <w:t>20</w:t>
            </w:r>
          </w:p>
        </w:tc>
        <w:tc>
          <w:tcPr>
            <w:tcW w:w="1559" w:type="dxa"/>
            <w:tcBorders>
              <w:bottom w:val="single" w:sz="4" w:space="0" w:color="auto"/>
            </w:tcBorders>
            <w:shd w:val="clear" w:color="auto" w:fill="D9D9D9" w:themeFill="background1" w:themeFillShade="D9"/>
            <w:vAlign w:val="center"/>
          </w:tcPr>
          <w:p w14:paraId="0A446B5D" w14:textId="77777777" w:rsidR="00170B66" w:rsidRPr="00CC03D5" w:rsidRDefault="00170B66" w:rsidP="000A162D">
            <w:pPr>
              <w:pStyle w:val="TableParagraph"/>
              <w:jc w:val="center"/>
              <w:rPr>
                <w:rFonts w:ascii="Arial" w:eastAsia="Arial" w:hAnsi="Arial" w:cs="Arial"/>
                <w:sz w:val="16"/>
                <w:szCs w:val="16"/>
                <w:lang w:val="cs-CZ"/>
              </w:rPr>
            </w:pPr>
            <w:proofErr w:type="spellStart"/>
            <w:r w:rsidRPr="00CC03D5">
              <w:rPr>
                <w:rFonts w:ascii="Arial" w:eastAsia="Arial" w:hAnsi="Arial" w:cs="Arial"/>
                <w:spacing w:val="-1"/>
                <w:sz w:val="16"/>
                <w:szCs w:val="16"/>
                <w:lang w:val="cs-CZ"/>
              </w:rPr>
              <w:t>OGe</w:t>
            </w:r>
            <w:r w:rsidRPr="00CC03D5">
              <w:rPr>
                <w:rFonts w:ascii="Arial" w:eastAsia="Arial" w:hAnsi="Arial" w:cs="Arial"/>
                <w:spacing w:val="-4"/>
                <w:sz w:val="16"/>
                <w:szCs w:val="16"/>
                <w:lang w:val="cs-CZ"/>
              </w:rPr>
              <w:t>w</w:t>
            </w:r>
            <w:r w:rsidRPr="00CC03D5">
              <w:rPr>
                <w:rFonts w:ascii="Arial" w:eastAsia="Arial" w:hAnsi="Arial" w:cs="Arial"/>
                <w:sz w:val="16"/>
                <w:szCs w:val="16"/>
                <w:lang w:val="cs-CZ"/>
              </w:rPr>
              <w:t>V</w:t>
            </w:r>
            <w:proofErr w:type="spellEnd"/>
          </w:p>
        </w:tc>
        <w:tc>
          <w:tcPr>
            <w:tcW w:w="2552" w:type="dxa"/>
            <w:tcBorders>
              <w:bottom w:val="single" w:sz="4" w:space="0" w:color="auto"/>
            </w:tcBorders>
            <w:shd w:val="clear" w:color="auto" w:fill="D9D9D9" w:themeFill="background1" w:themeFillShade="D9"/>
            <w:vAlign w:val="center"/>
          </w:tcPr>
          <w:p w14:paraId="7DD79271" w14:textId="77777777" w:rsidR="00170B66" w:rsidRPr="00CC03D5" w:rsidRDefault="00170B66" w:rsidP="000A162D">
            <w:pPr>
              <w:pStyle w:val="TableParagraph"/>
              <w:jc w:val="center"/>
              <w:rPr>
                <w:rFonts w:ascii="Arial" w:eastAsia="Calibri" w:hAnsi="Arial" w:cs="Arial"/>
                <w:sz w:val="16"/>
                <w:szCs w:val="16"/>
                <w:lang w:val="cs-CZ"/>
              </w:rPr>
            </w:pPr>
            <w:r w:rsidRPr="00CC03D5">
              <w:rPr>
                <w:rFonts w:ascii="Arial" w:hAnsi="Arial" w:cs="Arial"/>
                <w:spacing w:val="-1"/>
                <w:sz w:val="16"/>
                <w:szCs w:val="16"/>
                <w:lang w:val="cs-CZ"/>
              </w:rPr>
              <w:t>FGG Elbe 2013 / IKSE 2014</w:t>
            </w:r>
          </w:p>
        </w:tc>
      </w:tr>
      <w:tr w:rsidR="00170B66" w:rsidRPr="00CC03D5" w14:paraId="187C65AC" w14:textId="77777777" w:rsidTr="00733615">
        <w:trPr>
          <w:cantSplit/>
        </w:trPr>
        <w:tc>
          <w:tcPr>
            <w:tcW w:w="0" w:type="auto"/>
            <w:tcBorders>
              <w:bottom w:val="single" w:sz="4" w:space="0" w:color="auto"/>
            </w:tcBorders>
            <w:vAlign w:val="center"/>
          </w:tcPr>
          <w:p w14:paraId="499BA303" w14:textId="77777777" w:rsidR="00170B66" w:rsidRPr="00CC03D5" w:rsidRDefault="00170B66" w:rsidP="000A162D">
            <w:pPr>
              <w:pStyle w:val="TableParagraph"/>
              <w:jc w:val="center"/>
              <w:rPr>
                <w:rFonts w:ascii="Arial" w:eastAsia="Arial" w:hAnsi="Arial" w:cs="Arial"/>
                <w:sz w:val="16"/>
                <w:szCs w:val="16"/>
                <w:lang w:val="cs-CZ"/>
              </w:rPr>
            </w:pPr>
            <w:r w:rsidRPr="00CC03D5">
              <w:rPr>
                <w:rFonts w:ascii="Arial" w:eastAsia="Arial" w:hAnsi="Arial" w:cs="Arial"/>
                <w:b/>
                <w:bCs/>
                <w:spacing w:val="-1"/>
                <w:sz w:val="16"/>
                <w:szCs w:val="16"/>
                <w:lang w:val="cs-CZ"/>
              </w:rPr>
              <w:t>17</w:t>
            </w:r>
          </w:p>
        </w:tc>
        <w:tc>
          <w:tcPr>
            <w:tcW w:w="1168" w:type="dxa"/>
            <w:tcBorders>
              <w:bottom w:val="single" w:sz="4" w:space="0" w:color="auto"/>
            </w:tcBorders>
            <w:vAlign w:val="center"/>
          </w:tcPr>
          <w:p w14:paraId="72C98A72" w14:textId="77777777" w:rsidR="00170B66" w:rsidRPr="00CC03D5" w:rsidRDefault="00170B66" w:rsidP="000A162D">
            <w:pPr>
              <w:pStyle w:val="TableParagraph"/>
              <w:rPr>
                <w:rFonts w:ascii="Arial" w:eastAsia="Arial" w:hAnsi="Arial" w:cs="Arial"/>
                <w:sz w:val="16"/>
                <w:szCs w:val="16"/>
                <w:lang w:val="cs-CZ"/>
              </w:rPr>
            </w:pPr>
            <w:r w:rsidRPr="00CC03D5">
              <w:rPr>
                <w:rFonts w:ascii="Arial" w:eastAsia="Arial" w:hAnsi="Arial" w:cs="Arial"/>
                <w:b/>
                <w:bCs/>
                <w:sz w:val="16"/>
                <w:szCs w:val="16"/>
                <w:lang w:val="cs-CZ"/>
              </w:rPr>
              <w:t>P</w:t>
            </w:r>
            <w:r w:rsidRPr="00CC03D5">
              <w:rPr>
                <w:rFonts w:ascii="Arial" w:eastAsia="Arial" w:hAnsi="Arial" w:cs="Arial"/>
                <w:b/>
                <w:bCs/>
                <w:spacing w:val="-1"/>
                <w:sz w:val="16"/>
                <w:szCs w:val="16"/>
                <w:lang w:val="cs-CZ"/>
              </w:rPr>
              <w:t>CB-101</w:t>
            </w:r>
          </w:p>
        </w:tc>
        <w:tc>
          <w:tcPr>
            <w:tcW w:w="828" w:type="dxa"/>
            <w:tcBorders>
              <w:bottom w:val="single" w:sz="4" w:space="0" w:color="auto"/>
            </w:tcBorders>
            <w:vAlign w:val="center"/>
          </w:tcPr>
          <w:p w14:paraId="38D127E2" w14:textId="77777777" w:rsidR="00170B66" w:rsidRPr="00CC03D5" w:rsidRDefault="00170B66" w:rsidP="000A162D">
            <w:pPr>
              <w:pStyle w:val="TableParagraph"/>
              <w:jc w:val="center"/>
              <w:rPr>
                <w:rFonts w:ascii="Arial" w:eastAsia="Arial" w:hAnsi="Arial" w:cs="Arial"/>
                <w:sz w:val="16"/>
                <w:szCs w:val="16"/>
                <w:lang w:val="cs-CZ"/>
              </w:rPr>
            </w:pPr>
            <w:proofErr w:type="spellStart"/>
            <w:r w:rsidRPr="00CC03D5">
              <w:rPr>
                <w:rFonts w:ascii="Arial" w:eastAsia="Arial" w:hAnsi="Arial" w:cs="Arial"/>
                <w:b/>
                <w:bCs/>
                <w:sz w:val="16"/>
                <w:szCs w:val="16"/>
                <w:lang w:val="cs-CZ"/>
              </w:rPr>
              <w:t>μg</w:t>
            </w:r>
            <w:proofErr w:type="spellEnd"/>
            <w:r w:rsidRPr="00CC03D5">
              <w:rPr>
                <w:rFonts w:ascii="Arial" w:eastAsia="Arial" w:hAnsi="Arial" w:cs="Arial"/>
                <w:b/>
                <w:bCs/>
                <w:sz w:val="16"/>
                <w:szCs w:val="16"/>
                <w:lang w:val="cs-CZ"/>
              </w:rPr>
              <w:t>/</w:t>
            </w:r>
            <w:r w:rsidRPr="00CC03D5">
              <w:rPr>
                <w:rFonts w:ascii="Arial" w:eastAsia="Arial" w:hAnsi="Arial" w:cs="Arial"/>
                <w:b/>
                <w:bCs/>
                <w:spacing w:val="-1"/>
                <w:sz w:val="16"/>
                <w:szCs w:val="16"/>
                <w:lang w:val="cs-CZ"/>
              </w:rPr>
              <w:t>kg</w:t>
            </w:r>
          </w:p>
        </w:tc>
        <w:tc>
          <w:tcPr>
            <w:tcW w:w="1480" w:type="dxa"/>
            <w:gridSpan w:val="2"/>
            <w:tcBorders>
              <w:bottom w:val="single" w:sz="4" w:space="0" w:color="auto"/>
            </w:tcBorders>
            <w:shd w:val="clear" w:color="auto" w:fill="CAFBA5"/>
            <w:vAlign w:val="center"/>
          </w:tcPr>
          <w:p w14:paraId="4AF3D54E" w14:textId="77777777" w:rsidR="00170B66" w:rsidRPr="00CC03D5" w:rsidRDefault="00170B66" w:rsidP="000A162D">
            <w:pPr>
              <w:pStyle w:val="TableParagraph"/>
              <w:jc w:val="center"/>
              <w:rPr>
                <w:rFonts w:ascii="Arial" w:eastAsia="Arial" w:hAnsi="Arial" w:cs="Arial"/>
                <w:spacing w:val="-1"/>
                <w:sz w:val="16"/>
                <w:szCs w:val="16"/>
                <w:lang w:val="cs-CZ"/>
              </w:rPr>
            </w:pPr>
            <w:r w:rsidRPr="00CC03D5">
              <w:rPr>
                <w:rFonts w:ascii="Arial" w:eastAsia="Arial" w:hAnsi="Arial" w:cs="Arial"/>
                <w:b/>
                <w:bCs/>
                <w:spacing w:val="-1"/>
                <w:sz w:val="16"/>
                <w:szCs w:val="16"/>
                <w:lang w:val="cs-CZ"/>
              </w:rPr>
              <w:t>0</w:t>
            </w:r>
            <w:r w:rsidRPr="00CC03D5">
              <w:rPr>
                <w:rFonts w:ascii="Arial" w:eastAsia="Arial" w:hAnsi="Arial" w:cs="Arial"/>
                <w:b/>
                <w:bCs/>
                <w:sz w:val="16"/>
                <w:szCs w:val="16"/>
                <w:lang w:val="cs-CZ"/>
              </w:rPr>
              <w:t>,</w:t>
            </w:r>
            <w:r w:rsidRPr="00CC03D5">
              <w:rPr>
                <w:rFonts w:ascii="Arial" w:eastAsia="Arial" w:hAnsi="Arial" w:cs="Arial"/>
                <w:b/>
                <w:bCs/>
                <w:spacing w:val="-1"/>
                <w:sz w:val="16"/>
                <w:szCs w:val="16"/>
                <w:lang w:val="cs-CZ"/>
              </w:rPr>
              <w:t>54</w:t>
            </w:r>
          </w:p>
        </w:tc>
        <w:tc>
          <w:tcPr>
            <w:tcW w:w="1752" w:type="dxa"/>
            <w:tcBorders>
              <w:bottom w:val="single" w:sz="4" w:space="0" w:color="auto"/>
            </w:tcBorders>
            <w:shd w:val="clear" w:color="auto" w:fill="CAFBA5"/>
            <w:vAlign w:val="center"/>
          </w:tcPr>
          <w:p w14:paraId="074AE0C4" w14:textId="77777777" w:rsidR="00170B66" w:rsidRPr="00CC03D5" w:rsidRDefault="00170B66" w:rsidP="000A162D">
            <w:pPr>
              <w:pStyle w:val="TableParagraph"/>
              <w:jc w:val="center"/>
              <w:rPr>
                <w:rFonts w:ascii="Arial" w:eastAsia="Arial" w:hAnsi="Arial" w:cs="Arial"/>
                <w:sz w:val="16"/>
                <w:szCs w:val="16"/>
                <w:lang w:val="cs-CZ"/>
              </w:rPr>
            </w:pPr>
            <w:r w:rsidRPr="00CC03D5">
              <w:rPr>
                <w:rFonts w:ascii="Arial" w:eastAsia="Arial" w:hAnsi="Arial" w:cs="Arial"/>
                <w:spacing w:val="-1"/>
                <w:sz w:val="16"/>
                <w:szCs w:val="16"/>
                <w:lang w:val="cs-CZ"/>
              </w:rPr>
              <w:t>d</w:t>
            </w:r>
            <w:r w:rsidRPr="00CC03D5">
              <w:rPr>
                <w:rFonts w:ascii="Arial" w:eastAsia="Arial" w:hAnsi="Arial" w:cs="Arial"/>
                <w:sz w:val="16"/>
                <w:szCs w:val="16"/>
                <w:lang w:val="cs-CZ"/>
              </w:rPr>
              <w:t xml:space="preserve">e </w:t>
            </w:r>
            <w:proofErr w:type="spellStart"/>
            <w:proofErr w:type="gramStart"/>
            <w:r w:rsidRPr="00CC03D5">
              <w:rPr>
                <w:rFonts w:ascii="Arial" w:eastAsia="Arial" w:hAnsi="Arial" w:cs="Arial"/>
                <w:spacing w:val="-1"/>
                <w:sz w:val="16"/>
                <w:szCs w:val="16"/>
                <w:lang w:val="cs-CZ"/>
              </w:rPr>
              <w:t>De</w:t>
            </w:r>
            <w:r w:rsidRPr="00CC03D5">
              <w:rPr>
                <w:rFonts w:ascii="Arial" w:eastAsia="Arial" w:hAnsi="Arial" w:cs="Arial"/>
                <w:spacing w:val="1"/>
                <w:sz w:val="16"/>
                <w:szCs w:val="16"/>
                <w:lang w:val="cs-CZ"/>
              </w:rPr>
              <w:t>ck</w:t>
            </w:r>
            <w:r w:rsidRPr="00CC03D5">
              <w:rPr>
                <w:rFonts w:ascii="Arial" w:eastAsia="Arial" w:hAnsi="Arial" w:cs="Arial"/>
                <w:spacing w:val="-1"/>
                <w:sz w:val="16"/>
                <w:szCs w:val="16"/>
                <w:lang w:val="cs-CZ"/>
              </w:rPr>
              <w:t>er</w:t>
            </w:r>
            <w:r w:rsidRPr="00CC03D5">
              <w:rPr>
                <w:rFonts w:ascii="Arial" w:eastAsia="Arial" w:hAnsi="Arial" w:cs="Arial"/>
                <w:sz w:val="16"/>
                <w:szCs w:val="16"/>
                <w:lang w:val="cs-CZ"/>
              </w:rPr>
              <w:t>e</w:t>
            </w:r>
            <w:proofErr w:type="spellEnd"/>
            <w:proofErr w:type="gramEnd"/>
          </w:p>
        </w:tc>
        <w:tc>
          <w:tcPr>
            <w:tcW w:w="2694" w:type="dxa"/>
            <w:tcBorders>
              <w:bottom w:val="single" w:sz="4" w:space="0" w:color="auto"/>
            </w:tcBorders>
            <w:shd w:val="clear" w:color="auto" w:fill="CAFBA5"/>
            <w:vAlign w:val="center"/>
          </w:tcPr>
          <w:p w14:paraId="5E9D60FF" w14:textId="77777777" w:rsidR="00170B66" w:rsidRPr="00CC03D5" w:rsidRDefault="00170B66" w:rsidP="000A162D">
            <w:pPr>
              <w:pStyle w:val="TableParagraph"/>
              <w:jc w:val="center"/>
              <w:rPr>
                <w:rFonts w:ascii="Arial" w:eastAsia="Calibri" w:hAnsi="Arial" w:cs="Arial"/>
                <w:sz w:val="16"/>
                <w:szCs w:val="16"/>
                <w:lang w:val="cs-CZ"/>
              </w:rPr>
            </w:pPr>
            <w:r w:rsidRPr="00CC03D5">
              <w:rPr>
                <w:rFonts w:ascii="Arial" w:hAnsi="Arial" w:cs="Arial"/>
                <w:spacing w:val="-1"/>
                <w:sz w:val="16"/>
                <w:szCs w:val="16"/>
                <w:lang w:val="cs-CZ"/>
              </w:rPr>
              <w:t>FGG Elbe 2013 / IKSE 2014</w:t>
            </w:r>
          </w:p>
        </w:tc>
        <w:tc>
          <w:tcPr>
            <w:tcW w:w="1559" w:type="dxa"/>
            <w:gridSpan w:val="2"/>
            <w:tcBorders>
              <w:bottom w:val="single" w:sz="4" w:space="0" w:color="auto"/>
            </w:tcBorders>
            <w:shd w:val="clear" w:color="auto" w:fill="F7CAAC" w:themeFill="accent2" w:themeFillTint="66"/>
            <w:vAlign w:val="center"/>
          </w:tcPr>
          <w:p w14:paraId="569EED67" w14:textId="77777777" w:rsidR="00170B66" w:rsidRPr="00CC03D5" w:rsidRDefault="00170B66" w:rsidP="000A162D">
            <w:pPr>
              <w:pStyle w:val="TableParagraph"/>
              <w:jc w:val="center"/>
              <w:rPr>
                <w:rFonts w:ascii="Arial" w:eastAsia="Arial" w:hAnsi="Arial" w:cs="Arial"/>
                <w:spacing w:val="-1"/>
                <w:sz w:val="16"/>
                <w:szCs w:val="16"/>
                <w:lang w:val="cs-CZ"/>
              </w:rPr>
            </w:pPr>
            <w:r w:rsidRPr="00CC03D5">
              <w:rPr>
                <w:rFonts w:ascii="Arial" w:eastAsia="Arial" w:hAnsi="Arial" w:cs="Arial"/>
                <w:b/>
                <w:bCs/>
                <w:spacing w:val="-1"/>
                <w:sz w:val="16"/>
                <w:szCs w:val="16"/>
                <w:lang w:val="cs-CZ"/>
              </w:rPr>
              <w:t>20</w:t>
            </w:r>
          </w:p>
        </w:tc>
        <w:tc>
          <w:tcPr>
            <w:tcW w:w="1559" w:type="dxa"/>
            <w:tcBorders>
              <w:bottom w:val="single" w:sz="4" w:space="0" w:color="auto"/>
            </w:tcBorders>
            <w:shd w:val="clear" w:color="auto" w:fill="F7CAAC" w:themeFill="accent2" w:themeFillTint="66"/>
            <w:vAlign w:val="center"/>
          </w:tcPr>
          <w:p w14:paraId="2A066F4C" w14:textId="77777777" w:rsidR="00170B66" w:rsidRPr="00CC03D5" w:rsidRDefault="00170B66" w:rsidP="000A162D">
            <w:pPr>
              <w:pStyle w:val="TableParagraph"/>
              <w:jc w:val="center"/>
              <w:rPr>
                <w:rFonts w:ascii="Arial" w:eastAsia="Arial" w:hAnsi="Arial" w:cs="Arial"/>
                <w:sz w:val="16"/>
                <w:szCs w:val="16"/>
                <w:lang w:val="cs-CZ"/>
              </w:rPr>
            </w:pPr>
            <w:proofErr w:type="spellStart"/>
            <w:r w:rsidRPr="00CC03D5">
              <w:rPr>
                <w:rFonts w:ascii="Arial" w:eastAsia="Arial" w:hAnsi="Arial" w:cs="Arial"/>
                <w:spacing w:val="-1"/>
                <w:sz w:val="16"/>
                <w:szCs w:val="16"/>
                <w:lang w:val="cs-CZ"/>
              </w:rPr>
              <w:t>OGe</w:t>
            </w:r>
            <w:r w:rsidRPr="00CC03D5">
              <w:rPr>
                <w:rFonts w:ascii="Arial" w:eastAsia="Arial" w:hAnsi="Arial" w:cs="Arial"/>
                <w:spacing w:val="-4"/>
                <w:sz w:val="16"/>
                <w:szCs w:val="16"/>
                <w:lang w:val="cs-CZ"/>
              </w:rPr>
              <w:t>w</w:t>
            </w:r>
            <w:r w:rsidRPr="00CC03D5">
              <w:rPr>
                <w:rFonts w:ascii="Arial" w:eastAsia="Arial" w:hAnsi="Arial" w:cs="Arial"/>
                <w:sz w:val="16"/>
                <w:szCs w:val="16"/>
                <w:lang w:val="cs-CZ"/>
              </w:rPr>
              <w:t>V</w:t>
            </w:r>
            <w:proofErr w:type="spellEnd"/>
          </w:p>
        </w:tc>
        <w:tc>
          <w:tcPr>
            <w:tcW w:w="2552" w:type="dxa"/>
            <w:tcBorders>
              <w:bottom w:val="single" w:sz="4" w:space="0" w:color="auto"/>
            </w:tcBorders>
            <w:shd w:val="clear" w:color="auto" w:fill="F7CAAC" w:themeFill="accent2" w:themeFillTint="66"/>
            <w:vAlign w:val="center"/>
          </w:tcPr>
          <w:p w14:paraId="53E87925" w14:textId="77777777" w:rsidR="00170B66" w:rsidRPr="00CC03D5" w:rsidRDefault="00170B66" w:rsidP="000A162D">
            <w:pPr>
              <w:pStyle w:val="TableParagraph"/>
              <w:jc w:val="center"/>
              <w:rPr>
                <w:rFonts w:ascii="Arial" w:eastAsia="Calibri" w:hAnsi="Arial" w:cs="Arial"/>
                <w:sz w:val="16"/>
                <w:szCs w:val="16"/>
                <w:lang w:val="cs-CZ"/>
              </w:rPr>
            </w:pPr>
            <w:r w:rsidRPr="00CC03D5">
              <w:rPr>
                <w:rFonts w:ascii="Arial" w:hAnsi="Arial" w:cs="Arial"/>
                <w:spacing w:val="-1"/>
                <w:sz w:val="16"/>
                <w:szCs w:val="16"/>
                <w:lang w:val="cs-CZ"/>
              </w:rPr>
              <w:t>FGG Elbe 2013 / IKSE 2014</w:t>
            </w:r>
          </w:p>
        </w:tc>
      </w:tr>
      <w:tr w:rsidR="00170B66" w:rsidRPr="00CC03D5" w14:paraId="03EC79FD" w14:textId="77777777" w:rsidTr="00733615">
        <w:trPr>
          <w:cantSplit/>
        </w:trPr>
        <w:tc>
          <w:tcPr>
            <w:tcW w:w="0" w:type="auto"/>
            <w:shd w:val="clear" w:color="auto" w:fill="D9D9D9" w:themeFill="background1" w:themeFillShade="D9"/>
            <w:vAlign w:val="center"/>
          </w:tcPr>
          <w:p w14:paraId="77553A2B" w14:textId="77777777" w:rsidR="00170B66" w:rsidRPr="00CC03D5" w:rsidRDefault="00170B66" w:rsidP="000A162D">
            <w:pPr>
              <w:pStyle w:val="TableParagraph"/>
              <w:jc w:val="center"/>
              <w:rPr>
                <w:rFonts w:ascii="Arial" w:eastAsia="Arial" w:hAnsi="Arial" w:cs="Arial"/>
                <w:sz w:val="16"/>
                <w:szCs w:val="16"/>
                <w:lang w:val="cs-CZ"/>
              </w:rPr>
            </w:pPr>
            <w:r w:rsidRPr="00CC03D5">
              <w:rPr>
                <w:rFonts w:ascii="Arial" w:eastAsia="Arial" w:hAnsi="Arial" w:cs="Arial"/>
                <w:b/>
                <w:bCs/>
                <w:spacing w:val="-1"/>
                <w:sz w:val="16"/>
                <w:szCs w:val="16"/>
                <w:lang w:val="cs-CZ"/>
              </w:rPr>
              <w:t>18</w:t>
            </w:r>
          </w:p>
        </w:tc>
        <w:tc>
          <w:tcPr>
            <w:tcW w:w="1168" w:type="dxa"/>
            <w:shd w:val="clear" w:color="auto" w:fill="D9D9D9" w:themeFill="background1" w:themeFillShade="D9"/>
            <w:vAlign w:val="center"/>
          </w:tcPr>
          <w:p w14:paraId="1BA576CA" w14:textId="77777777" w:rsidR="00170B66" w:rsidRPr="00CC03D5" w:rsidRDefault="00170B66" w:rsidP="000A162D">
            <w:pPr>
              <w:pStyle w:val="TableParagraph"/>
              <w:rPr>
                <w:rFonts w:ascii="Arial" w:eastAsia="Arial" w:hAnsi="Arial" w:cs="Arial"/>
                <w:sz w:val="16"/>
                <w:szCs w:val="16"/>
                <w:lang w:val="cs-CZ"/>
              </w:rPr>
            </w:pPr>
            <w:r w:rsidRPr="00CC03D5">
              <w:rPr>
                <w:rFonts w:ascii="Arial" w:eastAsia="Arial" w:hAnsi="Arial" w:cs="Arial"/>
                <w:b/>
                <w:bCs/>
                <w:sz w:val="16"/>
                <w:szCs w:val="16"/>
                <w:lang w:val="cs-CZ"/>
              </w:rPr>
              <w:t>P</w:t>
            </w:r>
            <w:r w:rsidRPr="00CC03D5">
              <w:rPr>
                <w:rFonts w:ascii="Arial" w:eastAsia="Arial" w:hAnsi="Arial" w:cs="Arial"/>
                <w:b/>
                <w:bCs/>
                <w:spacing w:val="-1"/>
                <w:sz w:val="16"/>
                <w:szCs w:val="16"/>
                <w:lang w:val="cs-CZ"/>
              </w:rPr>
              <w:t>CB-118</w:t>
            </w:r>
          </w:p>
        </w:tc>
        <w:tc>
          <w:tcPr>
            <w:tcW w:w="828" w:type="dxa"/>
            <w:shd w:val="clear" w:color="auto" w:fill="D9D9D9" w:themeFill="background1" w:themeFillShade="D9"/>
            <w:vAlign w:val="center"/>
          </w:tcPr>
          <w:p w14:paraId="35CADDE7" w14:textId="77777777" w:rsidR="00170B66" w:rsidRPr="00CC03D5" w:rsidRDefault="00170B66" w:rsidP="000A162D">
            <w:pPr>
              <w:pStyle w:val="TableParagraph"/>
              <w:jc w:val="center"/>
              <w:rPr>
                <w:rFonts w:ascii="Arial" w:eastAsia="Arial" w:hAnsi="Arial" w:cs="Arial"/>
                <w:sz w:val="16"/>
                <w:szCs w:val="16"/>
                <w:lang w:val="cs-CZ"/>
              </w:rPr>
            </w:pPr>
            <w:proofErr w:type="spellStart"/>
            <w:r w:rsidRPr="00CC03D5">
              <w:rPr>
                <w:rFonts w:ascii="Arial" w:eastAsia="Arial" w:hAnsi="Arial" w:cs="Arial"/>
                <w:b/>
                <w:bCs/>
                <w:sz w:val="16"/>
                <w:szCs w:val="16"/>
                <w:lang w:val="cs-CZ"/>
              </w:rPr>
              <w:t>μg</w:t>
            </w:r>
            <w:proofErr w:type="spellEnd"/>
            <w:r w:rsidRPr="00CC03D5">
              <w:rPr>
                <w:rFonts w:ascii="Arial" w:eastAsia="Arial" w:hAnsi="Arial" w:cs="Arial"/>
                <w:b/>
                <w:bCs/>
                <w:sz w:val="16"/>
                <w:szCs w:val="16"/>
                <w:lang w:val="cs-CZ"/>
              </w:rPr>
              <w:t>/</w:t>
            </w:r>
            <w:r w:rsidRPr="00CC03D5">
              <w:rPr>
                <w:rFonts w:ascii="Arial" w:eastAsia="Arial" w:hAnsi="Arial" w:cs="Arial"/>
                <w:b/>
                <w:bCs/>
                <w:spacing w:val="-1"/>
                <w:sz w:val="16"/>
                <w:szCs w:val="16"/>
                <w:lang w:val="cs-CZ"/>
              </w:rPr>
              <w:t>kg</w:t>
            </w:r>
          </w:p>
        </w:tc>
        <w:tc>
          <w:tcPr>
            <w:tcW w:w="1480" w:type="dxa"/>
            <w:gridSpan w:val="2"/>
            <w:tcBorders>
              <w:bottom w:val="single" w:sz="4" w:space="0" w:color="auto"/>
            </w:tcBorders>
            <w:shd w:val="clear" w:color="auto" w:fill="D9D9D9" w:themeFill="background1" w:themeFillShade="D9"/>
            <w:vAlign w:val="center"/>
          </w:tcPr>
          <w:p w14:paraId="42AFBB70" w14:textId="77777777" w:rsidR="00170B66" w:rsidRPr="00CC03D5" w:rsidRDefault="00170B66" w:rsidP="000A162D">
            <w:pPr>
              <w:pStyle w:val="TableParagraph"/>
              <w:jc w:val="center"/>
              <w:rPr>
                <w:rFonts w:ascii="Arial" w:eastAsia="Arial" w:hAnsi="Arial" w:cs="Arial"/>
                <w:spacing w:val="-1"/>
                <w:sz w:val="16"/>
                <w:szCs w:val="16"/>
                <w:lang w:val="cs-CZ"/>
              </w:rPr>
            </w:pPr>
            <w:r w:rsidRPr="00CC03D5">
              <w:rPr>
                <w:rFonts w:ascii="Arial" w:eastAsia="Arial" w:hAnsi="Arial" w:cs="Arial"/>
                <w:b/>
                <w:bCs/>
                <w:spacing w:val="-1"/>
                <w:sz w:val="16"/>
                <w:szCs w:val="16"/>
                <w:lang w:val="cs-CZ"/>
              </w:rPr>
              <w:t>0</w:t>
            </w:r>
            <w:r w:rsidRPr="00CC03D5">
              <w:rPr>
                <w:rFonts w:ascii="Arial" w:eastAsia="Arial" w:hAnsi="Arial" w:cs="Arial"/>
                <w:b/>
                <w:bCs/>
                <w:sz w:val="16"/>
                <w:szCs w:val="16"/>
                <w:lang w:val="cs-CZ"/>
              </w:rPr>
              <w:t>,</w:t>
            </w:r>
            <w:r w:rsidRPr="00CC03D5">
              <w:rPr>
                <w:rFonts w:ascii="Arial" w:eastAsia="Arial" w:hAnsi="Arial" w:cs="Arial"/>
                <w:b/>
                <w:bCs/>
                <w:spacing w:val="-1"/>
                <w:sz w:val="16"/>
                <w:szCs w:val="16"/>
                <w:lang w:val="cs-CZ"/>
              </w:rPr>
              <w:t>43</w:t>
            </w:r>
          </w:p>
        </w:tc>
        <w:tc>
          <w:tcPr>
            <w:tcW w:w="1752" w:type="dxa"/>
            <w:tcBorders>
              <w:bottom w:val="single" w:sz="4" w:space="0" w:color="auto"/>
            </w:tcBorders>
            <w:shd w:val="clear" w:color="auto" w:fill="D9D9D9" w:themeFill="background1" w:themeFillShade="D9"/>
            <w:vAlign w:val="center"/>
          </w:tcPr>
          <w:p w14:paraId="6AB68D54" w14:textId="77777777" w:rsidR="00170B66" w:rsidRPr="00CC03D5" w:rsidRDefault="00170B66" w:rsidP="000A162D">
            <w:pPr>
              <w:pStyle w:val="TableParagraph"/>
              <w:jc w:val="center"/>
              <w:rPr>
                <w:rFonts w:ascii="Arial" w:eastAsia="Arial" w:hAnsi="Arial" w:cs="Arial"/>
                <w:sz w:val="16"/>
                <w:szCs w:val="16"/>
                <w:lang w:val="cs-CZ"/>
              </w:rPr>
            </w:pPr>
            <w:r w:rsidRPr="00CC03D5">
              <w:rPr>
                <w:rFonts w:ascii="Arial" w:eastAsia="Arial" w:hAnsi="Arial" w:cs="Arial"/>
                <w:spacing w:val="-1"/>
                <w:sz w:val="16"/>
                <w:szCs w:val="16"/>
                <w:lang w:val="cs-CZ"/>
              </w:rPr>
              <w:t>d</w:t>
            </w:r>
            <w:r w:rsidRPr="00CC03D5">
              <w:rPr>
                <w:rFonts w:ascii="Arial" w:eastAsia="Arial" w:hAnsi="Arial" w:cs="Arial"/>
                <w:sz w:val="16"/>
                <w:szCs w:val="16"/>
                <w:lang w:val="cs-CZ"/>
              </w:rPr>
              <w:t xml:space="preserve">e </w:t>
            </w:r>
            <w:proofErr w:type="spellStart"/>
            <w:proofErr w:type="gramStart"/>
            <w:r w:rsidRPr="00CC03D5">
              <w:rPr>
                <w:rFonts w:ascii="Arial" w:eastAsia="Arial" w:hAnsi="Arial" w:cs="Arial"/>
                <w:spacing w:val="-1"/>
                <w:sz w:val="16"/>
                <w:szCs w:val="16"/>
                <w:lang w:val="cs-CZ"/>
              </w:rPr>
              <w:t>De</w:t>
            </w:r>
            <w:r w:rsidRPr="00CC03D5">
              <w:rPr>
                <w:rFonts w:ascii="Arial" w:eastAsia="Arial" w:hAnsi="Arial" w:cs="Arial"/>
                <w:spacing w:val="1"/>
                <w:sz w:val="16"/>
                <w:szCs w:val="16"/>
                <w:lang w:val="cs-CZ"/>
              </w:rPr>
              <w:t>ck</w:t>
            </w:r>
            <w:r w:rsidRPr="00CC03D5">
              <w:rPr>
                <w:rFonts w:ascii="Arial" w:eastAsia="Arial" w:hAnsi="Arial" w:cs="Arial"/>
                <w:spacing w:val="-1"/>
                <w:sz w:val="16"/>
                <w:szCs w:val="16"/>
                <w:lang w:val="cs-CZ"/>
              </w:rPr>
              <w:t>er</w:t>
            </w:r>
            <w:r w:rsidRPr="00CC03D5">
              <w:rPr>
                <w:rFonts w:ascii="Arial" w:eastAsia="Arial" w:hAnsi="Arial" w:cs="Arial"/>
                <w:sz w:val="16"/>
                <w:szCs w:val="16"/>
                <w:lang w:val="cs-CZ"/>
              </w:rPr>
              <w:t>e</w:t>
            </w:r>
            <w:proofErr w:type="spellEnd"/>
            <w:proofErr w:type="gramEnd"/>
          </w:p>
        </w:tc>
        <w:tc>
          <w:tcPr>
            <w:tcW w:w="2694" w:type="dxa"/>
            <w:tcBorders>
              <w:bottom w:val="single" w:sz="4" w:space="0" w:color="auto"/>
            </w:tcBorders>
            <w:shd w:val="clear" w:color="auto" w:fill="D9D9D9" w:themeFill="background1" w:themeFillShade="D9"/>
            <w:vAlign w:val="center"/>
          </w:tcPr>
          <w:p w14:paraId="7858C0F4" w14:textId="77777777" w:rsidR="00170B66" w:rsidRPr="00CC03D5" w:rsidRDefault="00170B66" w:rsidP="000A162D">
            <w:pPr>
              <w:pStyle w:val="TableParagraph"/>
              <w:jc w:val="center"/>
              <w:rPr>
                <w:rFonts w:ascii="Arial" w:eastAsia="Calibri" w:hAnsi="Arial" w:cs="Arial"/>
                <w:sz w:val="16"/>
                <w:szCs w:val="16"/>
                <w:lang w:val="cs-CZ"/>
              </w:rPr>
            </w:pPr>
            <w:r w:rsidRPr="00CC03D5">
              <w:rPr>
                <w:rFonts w:ascii="Arial" w:hAnsi="Arial" w:cs="Arial"/>
                <w:spacing w:val="-1"/>
                <w:sz w:val="16"/>
                <w:szCs w:val="16"/>
                <w:lang w:val="cs-CZ"/>
              </w:rPr>
              <w:t>FGG Elbe 2013 / IKSE 2014</w:t>
            </w:r>
          </w:p>
        </w:tc>
        <w:tc>
          <w:tcPr>
            <w:tcW w:w="1559" w:type="dxa"/>
            <w:gridSpan w:val="2"/>
            <w:tcBorders>
              <w:bottom w:val="single" w:sz="4" w:space="0" w:color="auto"/>
            </w:tcBorders>
            <w:shd w:val="clear" w:color="auto" w:fill="D9D9D9" w:themeFill="background1" w:themeFillShade="D9"/>
            <w:vAlign w:val="center"/>
          </w:tcPr>
          <w:p w14:paraId="7FEF50FD" w14:textId="77777777" w:rsidR="00170B66" w:rsidRPr="00CC03D5" w:rsidRDefault="00170B66" w:rsidP="000A162D">
            <w:pPr>
              <w:pStyle w:val="TableParagraph"/>
              <w:jc w:val="center"/>
              <w:rPr>
                <w:rFonts w:ascii="Arial" w:eastAsia="Arial" w:hAnsi="Arial" w:cs="Arial"/>
                <w:spacing w:val="-1"/>
                <w:sz w:val="16"/>
                <w:szCs w:val="16"/>
                <w:lang w:val="cs-CZ"/>
              </w:rPr>
            </w:pPr>
            <w:r w:rsidRPr="00CC03D5">
              <w:rPr>
                <w:rFonts w:ascii="Arial" w:eastAsia="Arial" w:hAnsi="Arial" w:cs="Arial"/>
                <w:b/>
                <w:bCs/>
                <w:spacing w:val="-1"/>
                <w:sz w:val="16"/>
                <w:szCs w:val="16"/>
                <w:lang w:val="cs-CZ"/>
              </w:rPr>
              <w:t>20</w:t>
            </w:r>
          </w:p>
        </w:tc>
        <w:tc>
          <w:tcPr>
            <w:tcW w:w="1559" w:type="dxa"/>
            <w:tcBorders>
              <w:bottom w:val="single" w:sz="4" w:space="0" w:color="auto"/>
            </w:tcBorders>
            <w:shd w:val="clear" w:color="auto" w:fill="D9D9D9" w:themeFill="background1" w:themeFillShade="D9"/>
            <w:vAlign w:val="center"/>
          </w:tcPr>
          <w:p w14:paraId="1B02FFF6" w14:textId="77777777" w:rsidR="00170B66" w:rsidRPr="00CC03D5" w:rsidRDefault="00170B66" w:rsidP="000A162D">
            <w:pPr>
              <w:pStyle w:val="TableParagraph"/>
              <w:jc w:val="center"/>
              <w:rPr>
                <w:rFonts w:ascii="Arial" w:eastAsia="Arial" w:hAnsi="Arial" w:cs="Arial"/>
                <w:sz w:val="16"/>
                <w:szCs w:val="16"/>
                <w:lang w:val="cs-CZ"/>
              </w:rPr>
            </w:pPr>
            <w:proofErr w:type="spellStart"/>
            <w:r w:rsidRPr="00CC03D5">
              <w:rPr>
                <w:rFonts w:ascii="Arial" w:eastAsia="Arial" w:hAnsi="Arial" w:cs="Arial"/>
                <w:spacing w:val="-1"/>
                <w:sz w:val="16"/>
                <w:szCs w:val="16"/>
                <w:lang w:val="cs-CZ"/>
              </w:rPr>
              <w:t>OGe</w:t>
            </w:r>
            <w:r w:rsidRPr="00CC03D5">
              <w:rPr>
                <w:rFonts w:ascii="Arial" w:eastAsia="Arial" w:hAnsi="Arial" w:cs="Arial"/>
                <w:spacing w:val="-4"/>
                <w:sz w:val="16"/>
                <w:szCs w:val="16"/>
                <w:lang w:val="cs-CZ"/>
              </w:rPr>
              <w:t>w</w:t>
            </w:r>
            <w:r w:rsidRPr="00CC03D5">
              <w:rPr>
                <w:rFonts w:ascii="Arial" w:eastAsia="Arial" w:hAnsi="Arial" w:cs="Arial"/>
                <w:sz w:val="16"/>
                <w:szCs w:val="16"/>
                <w:lang w:val="cs-CZ"/>
              </w:rPr>
              <w:t>V</w:t>
            </w:r>
            <w:proofErr w:type="spellEnd"/>
          </w:p>
        </w:tc>
        <w:tc>
          <w:tcPr>
            <w:tcW w:w="2552" w:type="dxa"/>
            <w:tcBorders>
              <w:bottom w:val="single" w:sz="4" w:space="0" w:color="auto"/>
            </w:tcBorders>
            <w:shd w:val="clear" w:color="auto" w:fill="D9D9D9" w:themeFill="background1" w:themeFillShade="D9"/>
            <w:vAlign w:val="center"/>
          </w:tcPr>
          <w:p w14:paraId="5D223231" w14:textId="77777777" w:rsidR="00170B66" w:rsidRPr="00CC03D5" w:rsidRDefault="00170B66" w:rsidP="000A162D">
            <w:pPr>
              <w:pStyle w:val="TableParagraph"/>
              <w:jc w:val="center"/>
              <w:rPr>
                <w:rFonts w:ascii="Arial" w:eastAsia="Calibri" w:hAnsi="Arial" w:cs="Arial"/>
                <w:sz w:val="16"/>
                <w:szCs w:val="16"/>
                <w:lang w:val="cs-CZ"/>
              </w:rPr>
            </w:pPr>
            <w:r w:rsidRPr="00CC03D5">
              <w:rPr>
                <w:rFonts w:ascii="Arial" w:hAnsi="Arial" w:cs="Arial"/>
                <w:spacing w:val="-1"/>
                <w:sz w:val="16"/>
                <w:szCs w:val="16"/>
                <w:lang w:val="cs-CZ"/>
              </w:rPr>
              <w:t>FGG Elbe 2013 / IKSE 2014</w:t>
            </w:r>
          </w:p>
        </w:tc>
      </w:tr>
      <w:tr w:rsidR="00170B66" w:rsidRPr="00CC03D5" w14:paraId="71B78FB0" w14:textId="77777777" w:rsidTr="00733615">
        <w:trPr>
          <w:cantSplit/>
        </w:trPr>
        <w:tc>
          <w:tcPr>
            <w:tcW w:w="0" w:type="auto"/>
            <w:tcBorders>
              <w:bottom w:val="single" w:sz="4" w:space="0" w:color="auto"/>
            </w:tcBorders>
            <w:vAlign w:val="center"/>
          </w:tcPr>
          <w:p w14:paraId="22109FE0" w14:textId="77777777" w:rsidR="00170B66" w:rsidRPr="00CC03D5" w:rsidRDefault="00170B66" w:rsidP="000A162D">
            <w:pPr>
              <w:pStyle w:val="TableParagraph"/>
              <w:jc w:val="center"/>
              <w:rPr>
                <w:rFonts w:ascii="Arial" w:eastAsia="Arial" w:hAnsi="Arial" w:cs="Arial"/>
                <w:sz w:val="16"/>
                <w:szCs w:val="16"/>
                <w:lang w:val="cs-CZ"/>
              </w:rPr>
            </w:pPr>
            <w:r w:rsidRPr="00CC03D5">
              <w:rPr>
                <w:rFonts w:ascii="Arial" w:eastAsia="Arial" w:hAnsi="Arial" w:cs="Arial"/>
                <w:b/>
                <w:bCs/>
                <w:spacing w:val="-1"/>
                <w:sz w:val="16"/>
                <w:szCs w:val="16"/>
                <w:lang w:val="cs-CZ"/>
              </w:rPr>
              <w:t>19</w:t>
            </w:r>
          </w:p>
        </w:tc>
        <w:tc>
          <w:tcPr>
            <w:tcW w:w="1168" w:type="dxa"/>
            <w:tcBorders>
              <w:bottom w:val="single" w:sz="4" w:space="0" w:color="auto"/>
            </w:tcBorders>
            <w:vAlign w:val="center"/>
          </w:tcPr>
          <w:p w14:paraId="72D21A5B" w14:textId="77777777" w:rsidR="00170B66" w:rsidRPr="00CC03D5" w:rsidRDefault="00170B66" w:rsidP="000A162D">
            <w:pPr>
              <w:pStyle w:val="TableParagraph"/>
              <w:rPr>
                <w:rFonts w:ascii="Arial" w:eastAsia="Arial" w:hAnsi="Arial" w:cs="Arial"/>
                <w:sz w:val="16"/>
                <w:szCs w:val="16"/>
                <w:lang w:val="cs-CZ"/>
              </w:rPr>
            </w:pPr>
            <w:r w:rsidRPr="00CC03D5">
              <w:rPr>
                <w:rFonts w:ascii="Arial" w:eastAsia="Arial" w:hAnsi="Arial" w:cs="Arial"/>
                <w:b/>
                <w:bCs/>
                <w:sz w:val="16"/>
                <w:szCs w:val="16"/>
                <w:lang w:val="cs-CZ"/>
              </w:rPr>
              <w:t>P</w:t>
            </w:r>
            <w:r w:rsidRPr="00CC03D5">
              <w:rPr>
                <w:rFonts w:ascii="Arial" w:eastAsia="Arial" w:hAnsi="Arial" w:cs="Arial"/>
                <w:b/>
                <w:bCs/>
                <w:spacing w:val="-1"/>
                <w:sz w:val="16"/>
                <w:szCs w:val="16"/>
                <w:lang w:val="cs-CZ"/>
              </w:rPr>
              <w:t>CB-138</w:t>
            </w:r>
          </w:p>
        </w:tc>
        <w:tc>
          <w:tcPr>
            <w:tcW w:w="828" w:type="dxa"/>
            <w:tcBorders>
              <w:bottom w:val="single" w:sz="4" w:space="0" w:color="auto"/>
            </w:tcBorders>
            <w:vAlign w:val="center"/>
          </w:tcPr>
          <w:p w14:paraId="014A07EE" w14:textId="77777777" w:rsidR="00170B66" w:rsidRPr="00CC03D5" w:rsidRDefault="00170B66" w:rsidP="000A162D">
            <w:pPr>
              <w:pStyle w:val="TableParagraph"/>
              <w:jc w:val="center"/>
              <w:rPr>
                <w:rFonts w:ascii="Arial" w:eastAsia="Arial" w:hAnsi="Arial" w:cs="Arial"/>
                <w:sz w:val="16"/>
                <w:szCs w:val="16"/>
                <w:lang w:val="cs-CZ"/>
              </w:rPr>
            </w:pPr>
            <w:proofErr w:type="spellStart"/>
            <w:r w:rsidRPr="00CC03D5">
              <w:rPr>
                <w:rFonts w:ascii="Arial" w:eastAsia="Arial" w:hAnsi="Arial" w:cs="Arial"/>
                <w:b/>
                <w:bCs/>
                <w:sz w:val="16"/>
                <w:szCs w:val="16"/>
                <w:lang w:val="cs-CZ"/>
              </w:rPr>
              <w:t>μg</w:t>
            </w:r>
            <w:proofErr w:type="spellEnd"/>
            <w:r w:rsidRPr="00CC03D5">
              <w:rPr>
                <w:rFonts w:ascii="Arial" w:eastAsia="Arial" w:hAnsi="Arial" w:cs="Arial"/>
                <w:b/>
                <w:bCs/>
                <w:sz w:val="16"/>
                <w:szCs w:val="16"/>
                <w:lang w:val="cs-CZ"/>
              </w:rPr>
              <w:t>/</w:t>
            </w:r>
            <w:r w:rsidRPr="00CC03D5">
              <w:rPr>
                <w:rFonts w:ascii="Arial" w:eastAsia="Arial" w:hAnsi="Arial" w:cs="Arial"/>
                <w:b/>
                <w:bCs/>
                <w:spacing w:val="-1"/>
                <w:sz w:val="16"/>
                <w:szCs w:val="16"/>
                <w:lang w:val="cs-CZ"/>
              </w:rPr>
              <w:t>kg</w:t>
            </w:r>
          </w:p>
        </w:tc>
        <w:tc>
          <w:tcPr>
            <w:tcW w:w="1480" w:type="dxa"/>
            <w:gridSpan w:val="2"/>
            <w:tcBorders>
              <w:bottom w:val="single" w:sz="4" w:space="0" w:color="auto"/>
            </w:tcBorders>
            <w:shd w:val="clear" w:color="auto" w:fill="CAFBA5"/>
            <w:vAlign w:val="center"/>
          </w:tcPr>
          <w:p w14:paraId="101ED41C" w14:textId="77777777" w:rsidR="00170B66" w:rsidRPr="00CC03D5" w:rsidRDefault="00170B66" w:rsidP="000A162D">
            <w:pPr>
              <w:pStyle w:val="TableParagraph"/>
              <w:jc w:val="center"/>
              <w:rPr>
                <w:rFonts w:ascii="Arial" w:eastAsia="Arial" w:hAnsi="Arial" w:cs="Arial"/>
                <w:spacing w:val="-1"/>
                <w:sz w:val="16"/>
                <w:szCs w:val="16"/>
                <w:lang w:val="cs-CZ"/>
              </w:rPr>
            </w:pPr>
            <w:r w:rsidRPr="00CC03D5">
              <w:rPr>
                <w:rFonts w:ascii="Arial" w:eastAsia="Arial" w:hAnsi="Arial" w:cs="Arial"/>
                <w:b/>
                <w:bCs/>
                <w:sz w:val="16"/>
                <w:szCs w:val="16"/>
                <w:lang w:val="cs-CZ"/>
              </w:rPr>
              <w:t>1</w:t>
            </w:r>
          </w:p>
        </w:tc>
        <w:tc>
          <w:tcPr>
            <w:tcW w:w="1752" w:type="dxa"/>
            <w:tcBorders>
              <w:bottom w:val="single" w:sz="4" w:space="0" w:color="auto"/>
            </w:tcBorders>
            <w:shd w:val="clear" w:color="auto" w:fill="CAFBA5"/>
            <w:vAlign w:val="center"/>
          </w:tcPr>
          <w:p w14:paraId="09BBF4D1" w14:textId="77777777" w:rsidR="00170B66" w:rsidRPr="00CC03D5" w:rsidRDefault="00170B66" w:rsidP="000A162D">
            <w:pPr>
              <w:pStyle w:val="TableParagraph"/>
              <w:jc w:val="center"/>
              <w:rPr>
                <w:rFonts w:ascii="Arial" w:eastAsia="Arial" w:hAnsi="Arial" w:cs="Arial"/>
                <w:sz w:val="16"/>
                <w:szCs w:val="16"/>
                <w:lang w:val="cs-CZ"/>
              </w:rPr>
            </w:pPr>
            <w:r w:rsidRPr="00CC03D5">
              <w:rPr>
                <w:rFonts w:ascii="Arial" w:eastAsia="Arial" w:hAnsi="Arial" w:cs="Arial"/>
                <w:spacing w:val="-1"/>
                <w:sz w:val="16"/>
                <w:szCs w:val="16"/>
                <w:lang w:val="cs-CZ"/>
              </w:rPr>
              <w:t>d</w:t>
            </w:r>
            <w:r w:rsidRPr="00CC03D5">
              <w:rPr>
                <w:rFonts w:ascii="Arial" w:eastAsia="Arial" w:hAnsi="Arial" w:cs="Arial"/>
                <w:sz w:val="16"/>
                <w:szCs w:val="16"/>
                <w:lang w:val="cs-CZ"/>
              </w:rPr>
              <w:t xml:space="preserve">e </w:t>
            </w:r>
            <w:proofErr w:type="spellStart"/>
            <w:proofErr w:type="gramStart"/>
            <w:r w:rsidRPr="00CC03D5">
              <w:rPr>
                <w:rFonts w:ascii="Arial" w:eastAsia="Arial" w:hAnsi="Arial" w:cs="Arial"/>
                <w:spacing w:val="-1"/>
                <w:sz w:val="16"/>
                <w:szCs w:val="16"/>
                <w:lang w:val="cs-CZ"/>
              </w:rPr>
              <w:t>De</w:t>
            </w:r>
            <w:r w:rsidRPr="00CC03D5">
              <w:rPr>
                <w:rFonts w:ascii="Arial" w:eastAsia="Arial" w:hAnsi="Arial" w:cs="Arial"/>
                <w:spacing w:val="1"/>
                <w:sz w:val="16"/>
                <w:szCs w:val="16"/>
                <w:lang w:val="cs-CZ"/>
              </w:rPr>
              <w:t>ck</w:t>
            </w:r>
            <w:r w:rsidRPr="00CC03D5">
              <w:rPr>
                <w:rFonts w:ascii="Arial" w:eastAsia="Arial" w:hAnsi="Arial" w:cs="Arial"/>
                <w:spacing w:val="-1"/>
                <w:sz w:val="16"/>
                <w:szCs w:val="16"/>
                <w:lang w:val="cs-CZ"/>
              </w:rPr>
              <w:t>er</w:t>
            </w:r>
            <w:r w:rsidRPr="00CC03D5">
              <w:rPr>
                <w:rFonts w:ascii="Arial" w:eastAsia="Arial" w:hAnsi="Arial" w:cs="Arial"/>
                <w:sz w:val="16"/>
                <w:szCs w:val="16"/>
                <w:lang w:val="cs-CZ"/>
              </w:rPr>
              <w:t>e</w:t>
            </w:r>
            <w:proofErr w:type="spellEnd"/>
            <w:proofErr w:type="gramEnd"/>
          </w:p>
        </w:tc>
        <w:tc>
          <w:tcPr>
            <w:tcW w:w="2694" w:type="dxa"/>
            <w:tcBorders>
              <w:bottom w:val="single" w:sz="4" w:space="0" w:color="auto"/>
            </w:tcBorders>
            <w:shd w:val="clear" w:color="auto" w:fill="CAFBA5"/>
            <w:vAlign w:val="center"/>
          </w:tcPr>
          <w:p w14:paraId="0AABAF36" w14:textId="77777777" w:rsidR="00170B66" w:rsidRPr="00CC03D5" w:rsidRDefault="00170B66" w:rsidP="000A162D">
            <w:pPr>
              <w:pStyle w:val="TableParagraph"/>
              <w:jc w:val="center"/>
              <w:rPr>
                <w:rFonts w:ascii="Arial" w:eastAsia="Calibri" w:hAnsi="Arial" w:cs="Arial"/>
                <w:sz w:val="16"/>
                <w:szCs w:val="16"/>
                <w:lang w:val="cs-CZ"/>
              </w:rPr>
            </w:pPr>
            <w:r w:rsidRPr="00CC03D5">
              <w:rPr>
                <w:rFonts w:ascii="Arial" w:hAnsi="Arial" w:cs="Arial"/>
                <w:spacing w:val="-1"/>
                <w:sz w:val="16"/>
                <w:szCs w:val="16"/>
                <w:lang w:val="cs-CZ"/>
              </w:rPr>
              <w:t>FGG Elbe 2013 / IKSE 2014</w:t>
            </w:r>
          </w:p>
        </w:tc>
        <w:tc>
          <w:tcPr>
            <w:tcW w:w="1559" w:type="dxa"/>
            <w:gridSpan w:val="2"/>
            <w:tcBorders>
              <w:bottom w:val="single" w:sz="4" w:space="0" w:color="auto"/>
            </w:tcBorders>
            <w:shd w:val="clear" w:color="auto" w:fill="F7CAAC" w:themeFill="accent2" w:themeFillTint="66"/>
            <w:vAlign w:val="center"/>
          </w:tcPr>
          <w:p w14:paraId="776D6C10" w14:textId="77777777" w:rsidR="00170B66" w:rsidRPr="00CC03D5" w:rsidRDefault="00170B66" w:rsidP="000A162D">
            <w:pPr>
              <w:pStyle w:val="TableParagraph"/>
              <w:jc w:val="center"/>
              <w:rPr>
                <w:rFonts w:ascii="Arial" w:eastAsia="Arial" w:hAnsi="Arial" w:cs="Arial"/>
                <w:spacing w:val="-1"/>
                <w:sz w:val="16"/>
                <w:szCs w:val="16"/>
                <w:lang w:val="cs-CZ"/>
              </w:rPr>
            </w:pPr>
            <w:r w:rsidRPr="00CC03D5">
              <w:rPr>
                <w:rFonts w:ascii="Arial" w:eastAsia="Arial" w:hAnsi="Arial" w:cs="Arial"/>
                <w:b/>
                <w:bCs/>
                <w:spacing w:val="-1"/>
                <w:sz w:val="16"/>
                <w:szCs w:val="16"/>
                <w:lang w:val="cs-CZ"/>
              </w:rPr>
              <w:t>20</w:t>
            </w:r>
          </w:p>
        </w:tc>
        <w:tc>
          <w:tcPr>
            <w:tcW w:w="1559" w:type="dxa"/>
            <w:tcBorders>
              <w:bottom w:val="single" w:sz="4" w:space="0" w:color="auto"/>
            </w:tcBorders>
            <w:shd w:val="clear" w:color="auto" w:fill="F7CAAC" w:themeFill="accent2" w:themeFillTint="66"/>
            <w:vAlign w:val="center"/>
          </w:tcPr>
          <w:p w14:paraId="3BD7A846" w14:textId="77777777" w:rsidR="00170B66" w:rsidRPr="00CC03D5" w:rsidRDefault="00170B66" w:rsidP="000A162D">
            <w:pPr>
              <w:pStyle w:val="TableParagraph"/>
              <w:jc w:val="center"/>
              <w:rPr>
                <w:rFonts w:ascii="Arial" w:eastAsia="Arial" w:hAnsi="Arial" w:cs="Arial"/>
                <w:sz w:val="16"/>
                <w:szCs w:val="16"/>
                <w:lang w:val="cs-CZ"/>
              </w:rPr>
            </w:pPr>
            <w:proofErr w:type="spellStart"/>
            <w:r w:rsidRPr="00CC03D5">
              <w:rPr>
                <w:rFonts w:ascii="Arial" w:eastAsia="Arial" w:hAnsi="Arial" w:cs="Arial"/>
                <w:spacing w:val="-1"/>
                <w:sz w:val="16"/>
                <w:szCs w:val="16"/>
                <w:lang w:val="cs-CZ"/>
              </w:rPr>
              <w:t>OGe</w:t>
            </w:r>
            <w:r w:rsidRPr="00CC03D5">
              <w:rPr>
                <w:rFonts w:ascii="Arial" w:eastAsia="Arial" w:hAnsi="Arial" w:cs="Arial"/>
                <w:spacing w:val="-4"/>
                <w:sz w:val="16"/>
                <w:szCs w:val="16"/>
                <w:lang w:val="cs-CZ"/>
              </w:rPr>
              <w:t>w</w:t>
            </w:r>
            <w:r w:rsidRPr="00CC03D5">
              <w:rPr>
                <w:rFonts w:ascii="Arial" w:eastAsia="Arial" w:hAnsi="Arial" w:cs="Arial"/>
                <w:sz w:val="16"/>
                <w:szCs w:val="16"/>
                <w:lang w:val="cs-CZ"/>
              </w:rPr>
              <w:t>V</w:t>
            </w:r>
            <w:proofErr w:type="spellEnd"/>
          </w:p>
        </w:tc>
        <w:tc>
          <w:tcPr>
            <w:tcW w:w="2552" w:type="dxa"/>
            <w:tcBorders>
              <w:bottom w:val="single" w:sz="4" w:space="0" w:color="auto"/>
            </w:tcBorders>
            <w:shd w:val="clear" w:color="auto" w:fill="F7CAAC" w:themeFill="accent2" w:themeFillTint="66"/>
            <w:vAlign w:val="center"/>
          </w:tcPr>
          <w:p w14:paraId="5B5F4A70" w14:textId="77777777" w:rsidR="00170B66" w:rsidRPr="00CC03D5" w:rsidRDefault="00170B66" w:rsidP="000A162D">
            <w:pPr>
              <w:pStyle w:val="TableParagraph"/>
              <w:jc w:val="center"/>
              <w:rPr>
                <w:rFonts w:ascii="Arial" w:eastAsia="Calibri" w:hAnsi="Arial" w:cs="Arial"/>
                <w:sz w:val="16"/>
                <w:szCs w:val="16"/>
                <w:lang w:val="cs-CZ"/>
              </w:rPr>
            </w:pPr>
            <w:r w:rsidRPr="00CC03D5">
              <w:rPr>
                <w:rFonts w:ascii="Arial" w:hAnsi="Arial" w:cs="Arial"/>
                <w:spacing w:val="-1"/>
                <w:sz w:val="16"/>
                <w:szCs w:val="16"/>
                <w:lang w:val="cs-CZ"/>
              </w:rPr>
              <w:t>FGG Elbe 2013 / IKSE 2014</w:t>
            </w:r>
          </w:p>
        </w:tc>
      </w:tr>
      <w:tr w:rsidR="00170B66" w:rsidRPr="00CC03D5" w14:paraId="3FAF3904" w14:textId="77777777" w:rsidTr="00733615">
        <w:trPr>
          <w:cantSplit/>
        </w:trPr>
        <w:tc>
          <w:tcPr>
            <w:tcW w:w="0" w:type="auto"/>
            <w:shd w:val="clear" w:color="auto" w:fill="D9D9D9" w:themeFill="background1" w:themeFillShade="D9"/>
            <w:vAlign w:val="center"/>
          </w:tcPr>
          <w:p w14:paraId="2A104D72" w14:textId="77777777" w:rsidR="00170B66" w:rsidRPr="00CC03D5" w:rsidRDefault="00170B66" w:rsidP="000A162D">
            <w:pPr>
              <w:pStyle w:val="TableParagraph"/>
              <w:jc w:val="center"/>
              <w:rPr>
                <w:rFonts w:ascii="Arial" w:eastAsia="Arial" w:hAnsi="Arial" w:cs="Arial"/>
                <w:sz w:val="16"/>
                <w:szCs w:val="16"/>
                <w:lang w:val="cs-CZ"/>
              </w:rPr>
            </w:pPr>
            <w:r w:rsidRPr="00CC03D5">
              <w:rPr>
                <w:rFonts w:ascii="Arial" w:eastAsia="Arial" w:hAnsi="Arial" w:cs="Arial"/>
                <w:b/>
                <w:bCs/>
                <w:spacing w:val="-1"/>
                <w:sz w:val="16"/>
                <w:szCs w:val="16"/>
                <w:lang w:val="cs-CZ"/>
              </w:rPr>
              <w:t>20</w:t>
            </w:r>
          </w:p>
        </w:tc>
        <w:tc>
          <w:tcPr>
            <w:tcW w:w="1168" w:type="dxa"/>
            <w:shd w:val="clear" w:color="auto" w:fill="D9D9D9" w:themeFill="background1" w:themeFillShade="D9"/>
            <w:vAlign w:val="center"/>
          </w:tcPr>
          <w:p w14:paraId="4E77E7A7" w14:textId="77777777" w:rsidR="00170B66" w:rsidRPr="00CC03D5" w:rsidRDefault="00170B66" w:rsidP="000A162D">
            <w:pPr>
              <w:pStyle w:val="TableParagraph"/>
              <w:rPr>
                <w:rFonts w:ascii="Arial" w:eastAsia="Arial" w:hAnsi="Arial" w:cs="Arial"/>
                <w:sz w:val="16"/>
                <w:szCs w:val="16"/>
                <w:lang w:val="cs-CZ"/>
              </w:rPr>
            </w:pPr>
            <w:r w:rsidRPr="00CC03D5">
              <w:rPr>
                <w:rFonts w:ascii="Arial" w:eastAsia="Arial" w:hAnsi="Arial" w:cs="Arial"/>
                <w:b/>
                <w:bCs/>
                <w:sz w:val="16"/>
                <w:szCs w:val="16"/>
                <w:lang w:val="cs-CZ"/>
              </w:rPr>
              <w:t>P</w:t>
            </w:r>
            <w:r w:rsidRPr="00CC03D5">
              <w:rPr>
                <w:rFonts w:ascii="Arial" w:eastAsia="Arial" w:hAnsi="Arial" w:cs="Arial"/>
                <w:b/>
                <w:bCs/>
                <w:spacing w:val="-1"/>
                <w:sz w:val="16"/>
                <w:szCs w:val="16"/>
                <w:lang w:val="cs-CZ"/>
              </w:rPr>
              <w:t>CB-153</w:t>
            </w:r>
          </w:p>
        </w:tc>
        <w:tc>
          <w:tcPr>
            <w:tcW w:w="828" w:type="dxa"/>
            <w:shd w:val="clear" w:color="auto" w:fill="D9D9D9" w:themeFill="background1" w:themeFillShade="D9"/>
            <w:vAlign w:val="center"/>
          </w:tcPr>
          <w:p w14:paraId="68FED851" w14:textId="77777777" w:rsidR="00170B66" w:rsidRPr="00CC03D5" w:rsidRDefault="00170B66" w:rsidP="000A162D">
            <w:pPr>
              <w:pStyle w:val="TableParagraph"/>
              <w:jc w:val="center"/>
              <w:rPr>
                <w:rFonts w:ascii="Arial" w:eastAsia="Arial" w:hAnsi="Arial" w:cs="Arial"/>
                <w:sz w:val="16"/>
                <w:szCs w:val="16"/>
                <w:lang w:val="cs-CZ"/>
              </w:rPr>
            </w:pPr>
            <w:proofErr w:type="spellStart"/>
            <w:r w:rsidRPr="00CC03D5">
              <w:rPr>
                <w:rFonts w:ascii="Arial" w:eastAsia="Arial" w:hAnsi="Arial" w:cs="Arial"/>
                <w:b/>
                <w:bCs/>
                <w:sz w:val="16"/>
                <w:szCs w:val="16"/>
                <w:lang w:val="cs-CZ"/>
              </w:rPr>
              <w:t>μg</w:t>
            </w:r>
            <w:proofErr w:type="spellEnd"/>
            <w:r w:rsidRPr="00CC03D5">
              <w:rPr>
                <w:rFonts w:ascii="Arial" w:eastAsia="Arial" w:hAnsi="Arial" w:cs="Arial"/>
                <w:b/>
                <w:bCs/>
                <w:sz w:val="16"/>
                <w:szCs w:val="16"/>
                <w:lang w:val="cs-CZ"/>
              </w:rPr>
              <w:t>/</w:t>
            </w:r>
            <w:r w:rsidRPr="00CC03D5">
              <w:rPr>
                <w:rFonts w:ascii="Arial" w:eastAsia="Arial" w:hAnsi="Arial" w:cs="Arial"/>
                <w:b/>
                <w:bCs/>
                <w:spacing w:val="-1"/>
                <w:sz w:val="16"/>
                <w:szCs w:val="16"/>
                <w:lang w:val="cs-CZ"/>
              </w:rPr>
              <w:t>kg</w:t>
            </w:r>
          </w:p>
        </w:tc>
        <w:tc>
          <w:tcPr>
            <w:tcW w:w="1480" w:type="dxa"/>
            <w:gridSpan w:val="2"/>
            <w:tcBorders>
              <w:bottom w:val="single" w:sz="4" w:space="0" w:color="auto"/>
            </w:tcBorders>
            <w:shd w:val="clear" w:color="auto" w:fill="D9D9D9" w:themeFill="background1" w:themeFillShade="D9"/>
            <w:vAlign w:val="center"/>
          </w:tcPr>
          <w:p w14:paraId="13BD95C9" w14:textId="77777777" w:rsidR="00170B66" w:rsidRPr="00CC03D5" w:rsidRDefault="00170B66" w:rsidP="000A162D">
            <w:pPr>
              <w:pStyle w:val="TableParagraph"/>
              <w:jc w:val="center"/>
              <w:rPr>
                <w:rFonts w:ascii="Arial" w:eastAsia="Arial" w:hAnsi="Arial" w:cs="Arial"/>
                <w:spacing w:val="-1"/>
                <w:sz w:val="16"/>
                <w:szCs w:val="16"/>
                <w:lang w:val="cs-CZ"/>
              </w:rPr>
            </w:pPr>
            <w:r w:rsidRPr="00CC03D5">
              <w:rPr>
                <w:rFonts w:ascii="Arial" w:eastAsia="Arial" w:hAnsi="Arial" w:cs="Arial"/>
                <w:b/>
                <w:bCs/>
                <w:spacing w:val="-1"/>
                <w:sz w:val="16"/>
                <w:szCs w:val="16"/>
                <w:lang w:val="cs-CZ"/>
              </w:rPr>
              <w:t>1</w:t>
            </w:r>
            <w:r w:rsidRPr="00CC03D5">
              <w:rPr>
                <w:rFonts w:ascii="Arial" w:eastAsia="Arial" w:hAnsi="Arial" w:cs="Arial"/>
                <w:b/>
                <w:bCs/>
                <w:sz w:val="16"/>
                <w:szCs w:val="16"/>
                <w:lang w:val="cs-CZ"/>
              </w:rPr>
              <w:t>,5</w:t>
            </w:r>
          </w:p>
        </w:tc>
        <w:tc>
          <w:tcPr>
            <w:tcW w:w="1752" w:type="dxa"/>
            <w:tcBorders>
              <w:bottom w:val="single" w:sz="4" w:space="0" w:color="auto"/>
            </w:tcBorders>
            <w:shd w:val="clear" w:color="auto" w:fill="D9D9D9" w:themeFill="background1" w:themeFillShade="D9"/>
            <w:vAlign w:val="center"/>
          </w:tcPr>
          <w:p w14:paraId="6B280B3F" w14:textId="77777777" w:rsidR="00170B66" w:rsidRPr="00CC03D5" w:rsidRDefault="00170B66" w:rsidP="000A162D">
            <w:pPr>
              <w:pStyle w:val="TableParagraph"/>
              <w:jc w:val="center"/>
              <w:rPr>
                <w:rFonts w:ascii="Arial" w:eastAsia="Arial" w:hAnsi="Arial" w:cs="Arial"/>
                <w:sz w:val="16"/>
                <w:szCs w:val="16"/>
                <w:lang w:val="cs-CZ"/>
              </w:rPr>
            </w:pPr>
            <w:r w:rsidRPr="00CC03D5">
              <w:rPr>
                <w:rFonts w:ascii="Arial" w:eastAsia="Arial" w:hAnsi="Arial" w:cs="Arial"/>
                <w:spacing w:val="-1"/>
                <w:sz w:val="16"/>
                <w:szCs w:val="16"/>
                <w:lang w:val="cs-CZ"/>
              </w:rPr>
              <w:t>d</w:t>
            </w:r>
            <w:r w:rsidRPr="00CC03D5">
              <w:rPr>
                <w:rFonts w:ascii="Arial" w:eastAsia="Arial" w:hAnsi="Arial" w:cs="Arial"/>
                <w:sz w:val="16"/>
                <w:szCs w:val="16"/>
                <w:lang w:val="cs-CZ"/>
              </w:rPr>
              <w:t xml:space="preserve">e </w:t>
            </w:r>
            <w:proofErr w:type="spellStart"/>
            <w:proofErr w:type="gramStart"/>
            <w:r w:rsidRPr="00CC03D5">
              <w:rPr>
                <w:rFonts w:ascii="Arial" w:eastAsia="Arial" w:hAnsi="Arial" w:cs="Arial"/>
                <w:spacing w:val="-1"/>
                <w:sz w:val="16"/>
                <w:szCs w:val="16"/>
                <w:lang w:val="cs-CZ"/>
              </w:rPr>
              <w:t>De</w:t>
            </w:r>
            <w:r w:rsidRPr="00CC03D5">
              <w:rPr>
                <w:rFonts w:ascii="Arial" w:eastAsia="Arial" w:hAnsi="Arial" w:cs="Arial"/>
                <w:spacing w:val="1"/>
                <w:sz w:val="16"/>
                <w:szCs w:val="16"/>
                <w:lang w:val="cs-CZ"/>
              </w:rPr>
              <w:t>ck</w:t>
            </w:r>
            <w:r w:rsidRPr="00CC03D5">
              <w:rPr>
                <w:rFonts w:ascii="Arial" w:eastAsia="Arial" w:hAnsi="Arial" w:cs="Arial"/>
                <w:spacing w:val="-1"/>
                <w:sz w:val="16"/>
                <w:szCs w:val="16"/>
                <w:lang w:val="cs-CZ"/>
              </w:rPr>
              <w:t>er</w:t>
            </w:r>
            <w:r w:rsidRPr="00CC03D5">
              <w:rPr>
                <w:rFonts w:ascii="Arial" w:eastAsia="Arial" w:hAnsi="Arial" w:cs="Arial"/>
                <w:sz w:val="16"/>
                <w:szCs w:val="16"/>
                <w:lang w:val="cs-CZ"/>
              </w:rPr>
              <w:t>e</w:t>
            </w:r>
            <w:proofErr w:type="spellEnd"/>
            <w:proofErr w:type="gramEnd"/>
          </w:p>
        </w:tc>
        <w:tc>
          <w:tcPr>
            <w:tcW w:w="2694" w:type="dxa"/>
            <w:tcBorders>
              <w:bottom w:val="single" w:sz="4" w:space="0" w:color="auto"/>
            </w:tcBorders>
            <w:shd w:val="clear" w:color="auto" w:fill="D9D9D9" w:themeFill="background1" w:themeFillShade="D9"/>
            <w:vAlign w:val="center"/>
          </w:tcPr>
          <w:p w14:paraId="7A4457CF" w14:textId="77777777" w:rsidR="00170B66" w:rsidRPr="00CC03D5" w:rsidRDefault="00170B66" w:rsidP="000A162D">
            <w:pPr>
              <w:pStyle w:val="TableParagraph"/>
              <w:jc w:val="center"/>
              <w:rPr>
                <w:rFonts w:ascii="Arial" w:eastAsia="Calibri" w:hAnsi="Arial" w:cs="Arial"/>
                <w:sz w:val="16"/>
                <w:szCs w:val="16"/>
                <w:lang w:val="cs-CZ"/>
              </w:rPr>
            </w:pPr>
            <w:r w:rsidRPr="00CC03D5">
              <w:rPr>
                <w:rFonts w:ascii="Arial" w:hAnsi="Arial" w:cs="Arial"/>
                <w:spacing w:val="-1"/>
                <w:sz w:val="16"/>
                <w:szCs w:val="16"/>
                <w:lang w:val="cs-CZ"/>
              </w:rPr>
              <w:t>FGG Elbe 2013 / IKSE 2014</w:t>
            </w:r>
          </w:p>
        </w:tc>
        <w:tc>
          <w:tcPr>
            <w:tcW w:w="1559" w:type="dxa"/>
            <w:gridSpan w:val="2"/>
            <w:tcBorders>
              <w:bottom w:val="single" w:sz="4" w:space="0" w:color="auto"/>
            </w:tcBorders>
            <w:shd w:val="clear" w:color="auto" w:fill="D9D9D9" w:themeFill="background1" w:themeFillShade="D9"/>
            <w:vAlign w:val="center"/>
          </w:tcPr>
          <w:p w14:paraId="2AE99E01" w14:textId="77777777" w:rsidR="00170B66" w:rsidRPr="00CC03D5" w:rsidRDefault="00170B66" w:rsidP="000A162D">
            <w:pPr>
              <w:pStyle w:val="TableParagraph"/>
              <w:jc w:val="center"/>
              <w:rPr>
                <w:rFonts w:ascii="Arial" w:eastAsia="Arial" w:hAnsi="Arial" w:cs="Arial"/>
                <w:spacing w:val="-1"/>
                <w:sz w:val="16"/>
                <w:szCs w:val="16"/>
                <w:lang w:val="cs-CZ"/>
              </w:rPr>
            </w:pPr>
            <w:r w:rsidRPr="00CC03D5">
              <w:rPr>
                <w:rFonts w:ascii="Arial" w:eastAsia="Arial" w:hAnsi="Arial" w:cs="Arial"/>
                <w:b/>
                <w:bCs/>
                <w:spacing w:val="-1"/>
                <w:sz w:val="16"/>
                <w:szCs w:val="16"/>
                <w:lang w:val="cs-CZ"/>
              </w:rPr>
              <w:t>20</w:t>
            </w:r>
          </w:p>
        </w:tc>
        <w:tc>
          <w:tcPr>
            <w:tcW w:w="1559" w:type="dxa"/>
            <w:tcBorders>
              <w:bottom w:val="single" w:sz="4" w:space="0" w:color="auto"/>
            </w:tcBorders>
            <w:shd w:val="clear" w:color="auto" w:fill="D9D9D9" w:themeFill="background1" w:themeFillShade="D9"/>
            <w:vAlign w:val="center"/>
          </w:tcPr>
          <w:p w14:paraId="5F5F654D" w14:textId="77777777" w:rsidR="00170B66" w:rsidRPr="00CC03D5" w:rsidRDefault="00170B66" w:rsidP="000A162D">
            <w:pPr>
              <w:pStyle w:val="TableParagraph"/>
              <w:jc w:val="center"/>
              <w:rPr>
                <w:rFonts w:ascii="Arial" w:eastAsia="Arial" w:hAnsi="Arial" w:cs="Arial"/>
                <w:sz w:val="16"/>
                <w:szCs w:val="16"/>
                <w:lang w:val="cs-CZ"/>
              </w:rPr>
            </w:pPr>
            <w:proofErr w:type="spellStart"/>
            <w:r w:rsidRPr="00CC03D5">
              <w:rPr>
                <w:rFonts w:ascii="Arial" w:eastAsia="Arial" w:hAnsi="Arial" w:cs="Arial"/>
                <w:spacing w:val="-1"/>
                <w:sz w:val="16"/>
                <w:szCs w:val="16"/>
                <w:lang w:val="cs-CZ"/>
              </w:rPr>
              <w:t>OGe</w:t>
            </w:r>
            <w:r w:rsidRPr="00CC03D5">
              <w:rPr>
                <w:rFonts w:ascii="Arial" w:eastAsia="Arial" w:hAnsi="Arial" w:cs="Arial"/>
                <w:spacing w:val="-4"/>
                <w:sz w:val="16"/>
                <w:szCs w:val="16"/>
                <w:lang w:val="cs-CZ"/>
              </w:rPr>
              <w:t>w</w:t>
            </w:r>
            <w:r w:rsidRPr="00CC03D5">
              <w:rPr>
                <w:rFonts w:ascii="Arial" w:eastAsia="Arial" w:hAnsi="Arial" w:cs="Arial"/>
                <w:sz w:val="16"/>
                <w:szCs w:val="16"/>
                <w:lang w:val="cs-CZ"/>
              </w:rPr>
              <w:t>V</w:t>
            </w:r>
            <w:proofErr w:type="spellEnd"/>
          </w:p>
        </w:tc>
        <w:tc>
          <w:tcPr>
            <w:tcW w:w="2552" w:type="dxa"/>
            <w:tcBorders>
              <w:bottom w:val="single" w:sz="4" w:space="0" w:color="auto"/>
            </w:tcBorders>
            <w:shd w:val="clear" w:color="auto" w:fill="D9D9D9" w:themeFill="background1" w:themeFillShade="D9"/>
            <w:vAlign w:val="center"/>
          </w:tcPr>
          <w:p w14:paraId="69BE2C1D" w14:textId="77777777" w:rsidR="00170B66" w:rsidRPr="00CC03D5" w:rsidRDefault="00170B66" w:rsidP="000A162D">
            <w:pPr>
              <w:pStyle w:val="TableParagraph"/>
              <w:jc w:val="center"/>
              <w:rPr>
                <w:rFonts w:ascii="Arial" w:eastAsia="Calibri" w:hAnsi="Arial" w:cs="Arial"/>
                <w:sz w:val="16"/>
                <w:szCs w:val="16"/>
                <w:lang w:val="cs-CZ"/>
              </w:rPr>
            </w:pPr>
            <w:r w:rsidRPr="00CC03D5">
              <w:rPr>
                <w:rFonts w:ascii="Arial" w:hAnsi="Arial" w:cs="Arial"/>
                <w:spacing w:val="-1"/>
                <w:sz w:val="16"/>
                <w:szCs w:val="16"/>
                <w:lang w:val="cs-CZ"/>
              </w:rPr>
              <w:t>FGG Elbe 2013 / IKSE 2014</w:t>
            </w:r>
          </w:p>
        </w:tc>
      </w:tr>
      <w:tr w:rsidR="00170B66" w:rsidRPr="00CC03D5" w14:paraId="746411FD" w14:textId="77777777" w:rsidTr="00733615">
        <w:trPr>
          <w:cantSplit/>
        </w:trPr>
        <w:tc>
          <w:tcPr>
            <w:tcW w:w="0" w:type="auto"/>
            <w:tcBorders>
              <w:bottom w:val="single" w:sz="4" w:space="0" w:color="auto"/>
            </w:tcBorders>
            <w:vAlign w:val="center"/>
          </w:tcPr>
          <w:p w14:paraId="402B182F" w14:textId="77777777" w:rsidR="00170B66" w:rsidRPr="00CC03D5" w:rsidRDefault="00170B66" w:rsidP="000A162D">
            <w:pPr>
              <w:pStyle w:val="TableParagraph"/>
              <w:jc w:val="center"/>
              <w:rPr>
                <w:rFonts w:ascii="Arial" w:eastAsia="Arial" w:hAnsi="Arial" w:cs="Arial"/>
                <w:sz w:val="16"/>
                <w:szCs w:val="16"/>
                <w:lang w:val="cs-CZ"/>
              </w:rPr>
            </w:pPr>
            <w:r w:rsidRPr="00CC03D5">
              <w:rPr>
                <w:rFonts w:ascii="Arial" w:eastAsia="Arial" w:hAnsi="Arial" w:cs="Arial"/>
                <w:b/>
                <w:bCs/>
                <w:spacing w:val="-1"/>
                <w:sz w:val="16"/>
                <w:szCs w:val="16"/>
                <w:lang w:val="cs-CZ"/>
              </w:rPr>
              <w:t>21</w:t>
            </w:r>
          </w:p>
        </w:tc>
        <w:tc>
          <w:tcPr>
            <w:tcW w:w="1168" w:type="dxa"/>
            <w:tcBorders>
              <w:bottom w:val="single" w:sz="4" w:space="0" w:color="auto"/>
            </w:tcBorders>
            <w:vAlign w:val="center"/>
          </w:tcPr>
          <w:p w14:paraId="504B92B9" w14:textId="77777777" w:rsidR="00170B66" w:rsidRPr="00CC03D5" w:rsidRDefault="00170B66" w:rsidP="000A162D">
            <w:pPr>
              <w:pStyle w:val="TableParagraph"/>
              <w:rPr>
                <w:rFonts w:ascii="Arial" w:eastAsia="Arial" w:hAnsi="Arial" w:cs="Arial"/>
                <w:sz w:val="16"/>
                <w:szCs w:val="16"/>
                <w:lang w:val="cs-CZ"/>
              </w:rPr>
            </w:pPr>
            <w:r w:rsidRPr="00CC03D5">
              <w:rPr>
                <w:rFonts w:ascii="Arial" w:eastAsia="Arial" w:hAnsi="Arial" w:cs="Arial"/>
                <w:b/>
                <w:bCs/>
                <w:sz w:val="16"/>
                <w:szCs w:val="16"/>
                <w:lang w:val="cs-CZ"/>
              </w:rPr>
              <w:t>P</w:t>
            </w:r>
            <w:r w:rsidRPr="00CC03D5">
              <w:rPr>
                <w:rFonts w:ascii="Arial" w:eastAsia="Arial" w:hAnsi="Arial" w:cs="Arial"/>
                <w:b/>
                <w:bCs/>
                <w:spacing w:val="-1"/>
                <w:sz w:val="16"/>
                <w:szCs w:val="16"/>
                <w:lang w:val="cs-CZ"/>
              </w:rPr>
              <w:t>CB-180</w:t>
            </w:r>
          </w:p>
        </w:tc>
        <w:tc>
          <w:tcPr>
            <w:tcW w:w="828" w:type="dxa"/>
            <w:tcBorders>
              <w:bottom w:val="single" w:sz="4" w:space="0" w:color="auto"/>
            </w:tcBorders>
            <w:vAlign w:val="center"/>
          </w:tcPr>
          <w:p w14:paraId="7E48A044" w14:textId="77777777" w:rsidR="00170B66" w:rsidRPr="00CC03D5" w:rsidRDefault="00170B66" w:rsidP="000A162D">
            <w:pPr>
              <w:pStyle w:val="TableParagraph"/>
              <w:jc w:val="center"/>
              <w:rPr>
                <w:rFonts w:ascii="Arial" w:eastAsia="Arial" w:hAnsi="Arial" w:cs="Arial"/>
                <w:sz w:val="16"/>
                <w:szCs w:val="16"/>
                <w:lang w:val="cs-CZ"/>
              </w:rPr>
            </w:pPr>
            <w:proofErr w:type="spellStart"/>
            <w:r w:rsidRPr="00CC03D5">
              <w:rPr>
                <w:rFonts w:ascii="Arial" w:eastAsia="Arial" w:hAnsi="Arial" w:cs="Arial"/>
                <w:b/>
                <w:bCs/>
                <w:sz w:val="16"/>
                <w:szCs w:val="16"/>
                <w:lang w:val="cs-CZ"/>
              </w:rPr>
              <w:t>μg</w:t>
            </w:r>
            <w:proofErr w:type="spellEnd"/>
            <w:r w:rsidRPr="00CC03D5">
              <w:rPr>
                <w:rFonts w:ascii="Arial" w:eastAsia="Arial" w:hAnsi="Arial" w:cs="Arial"/>
                <w:b/>
                <w:bCs/>
                <w:sz w:val="16"/>
                <w:szCs w:val="16"/>
                <w:lang w:val="cs-CZ"/>
              </w:rPr>
              <w:t>/</w:t>
            </w:r>
            <w:r w:rsidRPr="00CC03D5">
              <w:rPr>
                <w:rFonts w:ascii="Arial" w:eastAsia="Arial" w:hAnsi="Arial" w:cs="Arial"/>
                <w:b/>
                <w:bCs/>
                <w:spacing w:val="-1"/>
                <w:sz w:val="16"/>
                <w:szCs w:val="16"/>
                <w:lang w:val="cs-CZ"/>
              </w:rPr>
              <w:t>kg</w:t>
            </w:r>
          </w:p>
        </w:tc>
        <w:tc>
          <w:tcPr>
            <w:tcW w:w="1480" w:type="dxa"/>
            <w:gridSpan w:val="2"/>
            <w:tcBorders>
              <w:bottom w:val="single" w:sz="4" w:space="0" w:color="auto"/>
            </w:tcBorders>
            <w:shd w:val="clear" w:color="auto" w:fill="CAFBA5"/>
            <w:vAlign w:val="center"/>
          </w:tcPr>
          <w:p w14:paraId="43394178" w14:textId="77777777" w:rsidR="00170B66" w:rsidRPr="00CC03D5" w:rsidRDefault="00170B66" w:rsidP="000A162D">
            <w:pPr>
              <w:pStyle w:val="TableParagraph"/>
              <w:jc w:val="center"/>
              <w:rPr>
                <w:rFonts w:ascii="Arial" w:eastAsia="Arial" w:hAnsi="Arial" w:cs="Arial"/>
                <w:spacing w:val="-1"/>
                <w:sz w:val="16"/>
                <w:szCs w:val="16"/>
                <w:lang w:val="cs-CZ"/>
              </w:rPr>
            </w:pPr>
            <w:r w:rsidRPr="00CC03D5">
              <w:rPr>
                <w:rFonts w:ascii="Arial" w:eastAsia="Arial" w:hAnsi="Arial" w:cs="Arial"/>
                <w:b/>
                <w:bCs/>
                <w:spacing w:val="-1"/>
                <w:sz w:val="16"/>
                <w:szCs w:val="16"/>
                <w:lang w:val="cs-CZ"/>
              </w:rPr>
              <w:t>0</w:t>
            </w:r>
            <w:r w:rsidRPr="00CC03D5">
              <w:rPr>
                <w:rFonts w:ascii="Arial" w:eastAsia="Arial" w:hAnsi="Arial" w:cs="Arial"/>
                <w:b/>
                <w:bCs/>
                <w:sz w:val="16"/>
                <w:szCs w:val="16"/>
                <w:lang w:val="cs-CZ"/>
              </w:rPr>
              <w:t>,</w:t>
            </w:r>
            <w:r w:rsidRPr="00CC03D5">
              <w:rPr>
                <w:rFonts w:ascii="Arial" w:eastAsia="Arial" w:hAnsi="Arial" w:cs="Arial"/>
                <w:b/>
                <w:bCs/>
                <w:spacing w:val="-1"/>
                <w:sz w:val="16"/>
                <w:szCs w:val="16"/>
                <w:lang w:val="cs-CZ"/>
              </w:rPr>
              <w:t>44</w:t>
            </w:r>
          </w:p>
        </w:tc>
        <w:tc>
          <w:tcPr>
            <w:tcW w:w="1752" w:type="dxa"/>
            <w:tcBorders>
              <w:bottom w:val="single" w:sz="4" w:space="0" w:color="auto"/>
            </w:tcBorders>
            <w:shd w:val="clear" w:color="auto" w:fill="CAFBA5"/>
            <w:vAlign w:val="center"/>
          </w:tcPr>
          <w:p w14:paraId="069180AC" w14:textId="77777777" w:rsidR="00170B66" w:rsidRPr="00CC03D5" w:rsidRDefault="00170B66" w:rsidP="000A162D">
            <w:pPr>
              <w:pStyle w:val="TableParagraph"/>
              <w:jc w:val="center"/>
              <w:rPr>
                <w:rFonts w:ascii="Arial" w:eastAsia="Arial" w:hAnsi="Arial" w:cs="Arial"/>
                <w:sz w:val="16"/>
                <w:szCs w:val="16"/>
                <w:lang w:val="cs-CZ"/>
              </w:rPr>
            </w:pPr>
            <w:r w:rsidRPr="00CC03D5">
              <w:rPr>
                <w:rFonts w:ascii="Arial" w:eastAsia="Arial" w:hAnsi="Arial" w:cs="Arial"/>
                <w:spacing w:val="-1"/>
                <w:sz w:val="16"/>
                <w:szCs w:val="16"/>
                <w:lang w:val="cs-CZ"/>
              </w:rPr>
              <w:t>d</w:t>
            </w:r>
            <w:r w:rsidRPr="00CC03D5">
              <w:rPr>
                <w:rFonts w:ascii="Arial" w:eastAsia="Arial" w:hAnsi="Arial" w:cs="Arial"/>
                <w:sz w:val="16"/>
                <w:szCs w:val="16"/>
                <w:lang w:val="cs-CZ"/>
              </w:rPr>
              <w:t xml:space="preserve">e </w:t>
            </w:r>
            <w:proofErr w:type="spellStart"/>
            <w:proofErr w:type="gramStart"/>
            <w:r w:rsidRPr="00CC03D5">
              <w:rPr>
                <w:rFonts w:ascii="Arial" w:eastAsia="Arial" w:hAnsi="Arial" w:cs="Arial"/>
                <w:spacing w:val="-1"/>
                <w:sz w:val="16"/>
                <w:szCs w:val="16"/>
                <w:lang w:val="cs-CZ"/>
              </w:rPr>
              <w:t>De</w:t>
            </w:r>
            <w:r w:rsidRPr="00CC03D5">
              <w:rPr>
                <w:rFonts w:ascii="Arial" w:eastAsia="Arial" w:hAnsi="Arial" w:cs="Arial"/>
                <w:spacing w:val="1"/>
                <w:sz w:val="16"/>
                <w:szCs w:val="16"/>
                <w:lang w:val="cs-CZ"/>
              </w:rPr>
              <w:t>ck</w:t>
            </w:r>
            <w:r w:rsidRPr="00CC03D5">
              <w:rPr>
                <w:rFonts w:ascii="Arial" w:eastAsia="Arial" w:hAnsi="Arial" w:cs="Arial"/>
                <w:spacing w:val="-1"/>
                <w:sz w:val="16"/>
                <w:szCs w:val="16"/>
                <w:lang w:val="cs-CZ"/>
              </w:rPr>
              <w:t>er</w:t>
            </w:r>
            <w:r w:rsidRPr="00CC03D5">
              <w:rPr>
                <w:rFonts w:ascii="Arial" w:eastAsia="Arial" w:hAnsi="Arial" w:cs="Arial"/>
                <w:sz w:val="16"/>
                <w:szCs w:val="16"/>
                <w:lang w:val="cs-CZ"/>
              </w:rPr>
              <w:t>e</w:t>
            </w:r>
            <w:proofErr w:type="spellEnd"/>
            <w:proofErr w:type="gramEnd"/>
          </w:p>
        </w:tc>
        <w:tc>
          <w:tcPr>
            <w:tcW w:w="2694" w:type="dxa"/>
            <w:tcBorders>
              <w:bottom w:val="single" w:sz="4" w:space="0" w:color="auto"/>
            </w:tcBorders>
            <w:shd w:val="clear" w:color="auto" w:fill="CAFBA5"/>
            <w:vAlign w:val="center"/>
          </w:tcPr>
          <w:p w14:paraId="1702056D" w14:textId="77777777" w:rsidR="00170B66" w:rsidRPr="00CC03D5" w:rsidRDefault="00170B66" w:rsidP="000A162D">
            <w:pPr>
              <w:pStyle w:val="TableParagraph"/>
              <w:jc w:val="center"/>
              <w:rPr>
                <w:rFonts w:ascii="Arial" w:eastAsia="Calibri" w:hAnsi="Arial" w:cs="Arial"/>
                <w:sz w:val="16"/>
                <w:szCs w:val="16"/>
                <w:lang w:val="cs-CZ"/>
              </w:rPr>
            </w:pPr>
            <w:r w:rsidRPr="00CC03D5">
              <w:rPr>
                <w:rFonts w:ascii="Arial" w:hAnsi="Arial" w:cs="Arial"/>
                <w:spacing w:val="-1"/>
                <w:sz w:val="16"/>
                <w:szCs w:val="16"/>
                <w:lang w:val="cs-CZ"/>
              </w:rPr>
              <w:t>FGG Elbe 2013 / IKSE 2014</w:t>
            </w:r>
          </w:p>
        </w:tc>
        <w:tc>
          <w:tcPr>
            <w:tcW w:w="1559" w:type="dxa"/>
            <w:gridSpan w:val="2"/>
            <w:tcBorders>
              <w:bottom w:val="single" w:sz="4" w:space="0" w:color="auto"/>
            </w:tcBorders>
            <w:shd w:val="clear" w:color="auto" w:fill="F7CAAC" w:themeFill="accent2" w:themeFillTint="66"/>
            <w:vAlign w:val="center"/>
          </w:tcPr>
          <w:p w14:paraId="4396F041" w14:textId="77777777" w:rsidR="00170B66" w:rsidRPr="00CC03D5" w:rsidRDefault="00170B66" w:rsidP="000A162D">
            <w:pPr>
              <w:pStyle w:val="TableParagraph"/>
              <w:jc w:val="center"/>
              <w:rPr>
                <w:rFonts w:ascii="Arial" w:eastAsia="Arial" w:hAnsi="Arial" w:cs="Arial"/>
                <w:spacing w:val="-1"/>
                <w:sz w:val="16"/>
                <w:szCs w:val="16"/>
                <w:lang w:val="cs-CZ"/>
              </w:rPr>
            </w:pPr>
            <w:r w:rsidRPr="00CC03D5">
              <w:rPr>
                <w:rFonts w:ascii="Arial" w:eastAsia="Arial" w:hAnsi="Arial" w:cs="Arial"/>
                <w:b/>
                <w:bCs/>
                <w:spacing w:val="-1"/>
                <w:sz w:val="16"/>
                <w:szCs w:val="16"/>
                <w:lang w:val="cs-CZ"/>
              </w:rPr>
              <w:t>20</w:t>
            </w:r>
          </w:p>
        </w:tc>
        <w:tc>
          <w:tcPr>
            <w:tcW w:w="1559" w:type="dxa"/>
            <w:tcBorders>
              <w:bottom w:val="single" w:sz="4" w:space="0" w:color="auto"/>
            </w:tcBorders>
            <w:shd w:val="clear" w:color="auto" w:fill="F7CAAC" w:themeFill="accent2" w:themeFillTint="66"/>
            <w:vAlign w:val="center"/>
          </w:tcPr>
          <w:p w14:paraId="108BB64C" w14:textId="77777777" w:rsidR="00170B66" w:rsidRPr="00CC03D5" w:rsidRDefault="00170B66" w:rsidP="000A162D">
            <w:pPr>
              <w:pStyle w:val="TableParagraph"/>
              <w:jc w:val="center"/>
              <w:rPr>
                <w:rFonts w:ascii="Arial" w:eastAsia="Arial" w:hAnsi="Arial" w:cs="Arial"/>
                <w:sz w:val="16"/>
                <w:szCs w:val="16"/>
                <w:lang w:val="cs-CZ"/>
              </w:rPr>
            </w:pPr>
            <w:proofErr w:type="spellStart"/>
            <w:r w:rsidRPr="00CC03D5">
              <w:rPr>
                <w:rFonts w:ascii="Arial" w:eastAsia="Arial" w:hAnsi="Arial" w:cs="Arial"/>
                <w:spacing w:val="-1"/>
                <w:sz w:val="16"/>
                <w:szCs w:val="16"/>
                <w:lang w:val="cs-CZ"/>
              </w:rPr>
              <w:t>OGe</w:t>
            </w:r>
            <w:r w:rsidRPr="00CC03D5">
              <w:rPr>
                <w:rFonts w:ascii="Arial" w:eastAsia="Arial" w:hAnsi="Arial" w:cs="Arial"/>
                <w:spacing w:val="-4"/>
                <w:sz w:val="16"/>
                <w:szCs w:val="16"/>
                <w:lang w:val="cs-CZ"/>
              </w:rPr>
              <w:t>w</w:t>
            </w:r>
            <w:r w:rsidRPr="00CC03D5">
              <w:rPr>
                <w:rFonts w:ascii="Arial" w:eastAsia="Arial" w:hAnsi="Arial" w:cs="Arial"/>
                <w:sz w:val="16"/>
                <w:szCs w:val="16"/>
                <w:lang w:val="cs-CZ"/>
              </w:rPr>
              <w:t>V</w:t>
            </w:r>
            <w:proofErr w:type="spellEnd"/>
          </w:p>
        </w:tc>
        <w:tc>
          <w:tcPr>
            <w:tcW w:w="2552" w:type="dxa"/>
            <w:tcBorders>
              <w:bottom w:val="single" w:sz="4" w:space="0" w:color="auto"/>
            </w:tcBorders>
            <w:shd w:val="clear" w:color="auto" w:fill="F7CAAC" w:themeFill="accent2" w:themeFillTint="66"/>
            <w:vAlign w:val="center"/>
          </w:tcPr>
          <w:p w14:paraId="5ADD3C6D" w14:textId="77777777" w:rsidR="00170B66" w:rsidRPr="00CC03D5" w:rsidRDefault="00170B66" w:rsidP="000A162D">
            <w:pPr>
              <w:pStyle w:val="TableParagraph"/>
              <w:jc w:val="center"/>
              <w:rPr>
                <w:rFonts w:ascii="Arial" w:eastAsia="Calibri" w:hAnsi="Arial" w:cs="Arial"/>
                <w:sz w:val="16"/>
                <w:szCs w:val="16"/>
                <w:lang w:val="cs-CZ"/>
              </w:rPr>
            </w:pPr>
            <w:r w:rsidRPr="00CC03D5">
              <w:rPr>
                <w:rFonts w:ascii="Arial" w:hAnsi="Arial" w:cs="Arial"/>
                <w:spacing w:val="-1"/>
                <w:sz w:val="16"/>
                <w:szCs w:val="16"/>
                <w:lang w:val="cs-CZ"/>
              </w:rPr>
              <w:t>FGG Elbe 2013 / IKSE 2014</w:t>
            </w:r>
          </w:p>
        </w:tc>
      </w:tr>
      <w:tr w:rsidR="002A1146" w:rsidRPr="00CC03D5" w14:paraId="01B9A89B" w14:textId="77777777" w:rsidTr="00CB720A">
        <w:trPr>
          <w:cantSplit/>
        </w:trPr>
        <w:tc>
          <w:tcPr>
            <w:tcW w:w="0" w:type="auto"/>
            <w:tcBorders>
              <w:bottom w:val="single" w:sz="4" w:space="0" w:color="auto"/>
            </w:tcBorders>
            <w:vAlign w:val="center"/>
          </w:tcPr>
          <w:p w14:paraId="3E13026F" w14:textId="77777777" w:rsidR="002A1146" w:rsidRPr="00CC03D5" w:rsidRDefault="002A1146" w:rsidP="000A162D">
            <w:pPr>
              <w:pStyle w:val="TableParagraph"/>
              <w:jc w:val="center"/>
              <w:rPr>
                <w:rFonts w:ascii="Arial" w:eastAsia="Arial" w:hAnsi="Arial" w:cs="Arial"/>
                <w:b/>
                <w:bCs/>
                <w:spacing w:val="-1"/>
                <w:sz w:val="16"/>
                <w:szCs w:val="16"/>
                <w:lang w:val="cs-CZ"/>
              </w:rPr>
            </w:pPr>
          </w:p>
        </w:tc>
        <w:tc>
          <w:tcPr>
            <w:tcW w:w="1168" w:type="dxa"/>
            <w:tcBorders>
              <w:bottom w:val="single" w:sz="4" w:space="0" w:color="auto"/>
            </w:tcBorders>
            <w:vAlign w:val="center"/>
          </w:tcPr>
          <w:p w14:paraId="7A5128F9" w14:textId="77777777" w:rsidR="002A1146" w:rsidRPr="00CC03D5" w:rsidRDefault="002A1146" w:rsidP="00AF1716">
            <w:pPr>
              <w:pStyle w:val="TableParagraph"/>
              <w:rPr>
                <w:rFonts w:ascii="Arial" w:eastAsia="Arial" w:hAnsi="Arial" w:cs="Arial"/>
                <w:b/>
                <w:bCs/>
                <w:sz w:val="16"/>
                <w:szCs w:val="16"/>
                <w:lang w:val="cs-CZ"/>
              </w:rPr>
            </w:pPr>
            <w:r w:rsidRPr="00CC03D5">
              <w:rPr>
                <w:rFonts w:ascii="Arial" w:eastAsia="Arial" w:hAnsi="Arial" w:cs="Arial"/>
                <w:b/>
                <w:bCs/>
                <w:sz w:val="16"/>
                <w:szCs w:val="16"/>
                <w:lang w:val="cs-CZ"/>
              </w:rPr>
              <w:t xml:space="preserve">Σ </w:t>
            </w:r>
            <w:r>
              <w:rPr>
                <w:rFonts w:ascii="Arial" w:eastAsia="Arial" w:hAnsi="Arial" w:cs="Arial"/>
                <w:b/>
                <w:bCs/>
                <w:sz w:val="16"/>
                <w:szCs w:val="16"/>
                <w:lang w:val="cs-CZ"/>
              </w:rPr>
              <w:t>7 PCB</w:t>
            </w:r>
            <w:r w:rsidR="001F3BC6">
              <w:rPr>
                <w:rFonts w:ascii="Arial" w:eastAsia="Arial" w:hAnsi="Arial" w:cs="Arial"/>
                <w:b/>
                <w:bCs/>
                <w:sz w:val="16"/>
                <w:szCs w:val="16"/>
                <w:lang w:val="cs-CZ"/>
              </w:rPr>
              <w:t xml:space="preserve"> </w:t>
            </w:r>
            <w:r w:rsidR="001F3BC6" w:rsidRPr="00CB720A">
              <w:rPr>
                <w:rFonts w:ascii="Arial" w:eastAsia="Arial" w:hAnsi="Arial" w:cs="Arial"/>
                <w:b/>
                <w:bCs/>
                <w:sz w:val="16"/>
                <w:szCs w:val="16"/>
                <w:vertAlign w:val="superscript"/>
                <w:lang w:val="cs-CZ"/>
              </w:rPr>
              <w:t>1)</w:t>
            </w:r>
          </w:p>
        </w:tc>
        <w:tc>
          <w:tcPr>
            <w:tcW w:w="828" w:type="dxa"/>
            <w:tcBorders>
              <w:bottom w:val="single" w:sz="4" w:space="0" w:color="auto"/>
            </w:tcBorders>
            <w:vAlign w:val="center"/>
          </w:tcPr>
          <w:p w14:paraId="169DD1B2" w14:textId="77777777" w:rsidR="002A1146" w:rsidRPr="00CC03D5" w:rsidRDefault="002A1146" w:rsidP="000A162D">
            <w:pPr>
              <w:pStyle w:val="TableParagraph"/>
              <w:jc w:val="center"/>
              <w:rPr>
                <w:rFonts w:ascii="Arial" w:eastAsia="Arial" w:hAnsi="Arial" w:cs="Arial"/>
                <w:b/>
                <w:bCs/>
                <w:sz w:val="16"/>
                <w:szCs w:val="16"/>
                <w:lang w:val="cs-CZ"/>
              </w:rPr>
            </w:pPr>
            <w:proofErr w:type="spellStart"/>
            <w:r w:rsidRPr="00CC03D5">
              <w:rPr>
                <w:rFonts w:ascii="Arial" w:eastAsia="Arial" w:hAnsi="Arial" w:cs="Arial"/>
                <w:b/>
                <w:bCs/>
                <w:sz w:val="16"/>
                <w:szCs w:val="16"/>
                <w:lang w:val="cs-CZ"/>
              </w:rPr>
              <w:t>μg</w:t>
            </w:r>
            <w:proofErr w:type="spellEnd"/>
            <w:r w:rsidRPr="00CC03D5">
              <w:rPr>
                <w:rFonts w:ascii="Arial" w:eastAsia="Arial" w:hAnsi="Arial" w:cs="Arial"/>
                <w:b/>
                <w:bCs/>
                <w:sz w:val="16"/>
                <w:szCs w:val="16"/>
                <w:lang w:val="cs-CZ"/>
              </w:rPr>
              <w:t>/</w:t>
            </w:r>
            <w:r w:rsidRPr="00CC03D5">
              <w:rPr>
                <w:rFonts w:ascii="Arial" w:eastAsia="Arial" w:hAnsi="Arial" w:cs="Arial"/>
                <w:b/>
                <w:bCs/>
                <w:spacing w:val="-1"/>
                <w:sz w:val="16"/>
                <w:szCs w:val="16"/>
                <w:lang w:val="cs-CZ"/>
              </w:rPr>
              <w:t>kg</w:t>
            </w:r>
          </w:p>
        </w:tc>
        <w:tc>
          <w:tcPr>
            <w:tcW w:w="1480" w:type="dxa"/>
            <w:gridSpan w:val="2"/>
            <w:tcBorders>
              <w:bottom w:val="single" w:sz="4" w:space="0" w:color="auto"/>
            </w:tcBorders>
            <w:shd w:val="clear" w:color="auto" w:fill="auto"/>
            <w:vAlign w:val="center"/>
          </w:tcPr>
          <w:p w14:paraId="3F82493E" w14:textId="77777777" w:rsidR="002A1146" w:rsidRPr="00CC03D5" w:rsidRDefault="001F3BC6" w:rsidP="000A162D">
            <w:pPr>
              <w:pStyle w:val="TableParagraph"/>
              <w:jc w:val="center"/>
              <w:rPr>
                <w:rFonts w:ascii="Arial" w:eastAsia="Arial" w:hAnsi="Arial" w:cs="Arial"/>
                <w:b/>
                <w:bCs/>
                <w:spacing w:val="-1"/>
                <w:sz w:val="16"/>
                <w:szCs w:val="16"/>
                <w:lang w:val="cs-CZ"/>
              </w:rPr>
            </w:pPr>
            <w:r>
              <w:rPr>
                <w:rFonts w:ascii="Arial" w:eastAsia="Arial" w:hAnsi="Arial" w:cs="Arial"/>
                <w:b/>
                <w:bCs/>
                <w:spacing w:val="-1"/>
                <w:sz w:val="16"/>
                <w:szCs w:val="16"/>
                <w:lang w:val="cs-CZ"/>
              </w:rPr>
              <w:t>—</w:t>
            </w:r>
          </w:p>
        </w:tc>
        <w:tc>
          <w:tcPr>
            <w:tcW w:w="1752" w:type="dxa"/>
            <w:tcBorders>
              <w:bottom w:val="single" w:sz="4" w:space="0" w:color="auto"/>
            </w:tcBorders>
            <w:shd w:val="clear" w:color="auto" w:fill="auto"/>
            <w:vAlign w:val="center"/>
          </w:tcPr>
          <w:p w14:paraId="0440B67B" w14:textId="77777777" w:rsidR="002A1146" w:rsidRPr="00CC03D5" w:rsidRDefault="001F3BC6" w:rsidP="000A162D">
            <w:pPr>
              <w:pStyle w:val="TableParagraph"/>
              <w:jc w:val="center"/>
              <w:rPr>
                <w:rFonts w:ascii="Arial" w:eastAsia="Arial" w:hAnsi="Arial" w:cs="Arial"/>
                <w:spacing w:val="-1"/>
                <w:sz w:val="16"/>
                <w:szCs w:val="16"/>
                <w:lang w:val="cs-CZ"/>
              </w:rPr>
            </w:pPr>
            <w:r>
              <w:rPr>
                <w:rFonts w:ascii="Arial" w:eastAsia="Arial" w:hAnsi="Arial" w:cs="Arial"/>
                <w:spacing w:val="-1"/>
                <w:sz w:val="16"/>
                <w:szCs w:val="16"/>
                <w:lang w:val="cs-CZ"/>
              </w:rPr>
              <w:t>—</w:t>
            </w:r>
          </w:p>
        </w:tc>
        <w:tc>
          <w:tcPr>
            <w:tcW w:w="2694" w:type="dxa"/>
            <w:tcBorders>
              <w:bottom w:val="single" w:sz="4" w:space="0" w:color="auto"/>
            </w:tcBorders>
            <w:shd w:val="clear" w:color="auto" w:fill="auto"/>
            <w:vAlign w:val="center"/>
          </w:tcPr>
          <w:p w14:paraId="41A52FD3" w14:textId="77777777" w:rsidR="002A1146" w:rsidRPr="00CC03D5" w:rsidRDefault="002A1146" w:rsidP="000A162D">
            <w:pPr>
              <w:pStyle w:val="TableParagraph"/>
              <w:jc w:val="center"/>
              <w:rPr>
                <w:rFonts w:ascii="Arial" w:hAnsi="Arial" w:cs="Arial"/>
                <w:spacing w:val="-1"/>
                <w:sz w:val="16"/>
                <w:szCs w:val="16"/>
                <w:lang w:val="cs-CZ"/>
              </w:rPr>
            </w:pPr>
          </w:p>
        </w:tc>
        <w:tc>
          <w:tcPr>
            <w:tcW w:w="1559" w:type="dxa"/>
            <w:gridSpan w:val="2"/>
            <w:tcBorders>
              <w:bottom w:val="single" w:sz="4" w:space="0" w:color="auto"/>
            </w:tcBorders>
            <w:shd w:val="clear" w:color="auto" w:fill="auto"/>
            <w:vAlign w:val="center"/>
          </w:tcPr>
          <w:p w14:paraId="792892C2" w14:textId="77777777" w:rsidR="002A1146" w:rsidRPr="00CC03D5" w:rsidRDefault="001F3BC6" w:rsidP="000A162D">
            <w:pPr>
              <w:pStyle w:val="TableParagraph"/>
              <w:jc w:val="center"/>
              <w:rPr>
                <w:rFonts w:ascii="Arial" w:eastAsia="Arial" w:hAnsi="Arial" w:cs="Arial"/>
                <w:b/>
                <w:bCs/>
                <w:spacing w:val="-1"/>
                <w:sz w:val="16"/>
                <w:szCs w:val="16"/>
                <w:lang w:val="cs-CZ"/>
              </w:rPr>
            </w:pPr>
            <w:r>
              <w:rPr>
                <w:rFonts w:ascii="Arial" w:eastAsia="Arial" w:hAnsi="Arial" w:cs="Arial"/>
                <w:b/>
                <w:bCs/>
                <w:spacing w:val="-1"/>
                <w:sz w:val="16"/>
                <w:szCs w:val="16"/>
                <w:lang w:val="cs-CZ"/>
              </w:rPr>
              <w:t>140</w:t>
            </w:r>
            <w:r w:rsidR="00F46C77">
              <w:rPr>
                <w:rFonts w:ascii="Arial" w:eastAsia="Arial" w:hAnsi="Arial" w:cs="Arial"/>
                <w:b/>
                <w:bCs/>
                <w:spacing w:val="-1"/>
                <w:sz w:val="16"/>
                <w:szCs w:val="16"/>
                <w:lang w:val="cs-CZ"/>
              </w:rPr>
              <w:t xml:space="preserve"> </w:t>
            </w:r>
            <w:r w:rsidR="00F46C77" w:rsidRPr="00CB720A">
              <w:rPr>
                <w:rFonts w:ascii="Arial" w:eastAsia="Arial" w:hAnsi="Arial" w:cs="Arial"/>
                <w:b/>
                <w:bCs/>
                <w:spacing w:val="-1"/>
                <w:sz w:val="16"/>
                <w:szCs w:val="16"/>
                <w:vertAlign w:val="superscript"/>
                <w:lang w:val="cs-CZ"/>
              </w:rPr>
              <w:t>1)</w:t>
            </w:r>
          </w:p>
        </w:tc>
        <w:tc>
          <w:tcPr>
            <w:tcW w:w="1559" w:type="dxa"/>
            <w:tcBorders>
              <w:bottom w:val="single" w:sz="4" w:space="0" w:color="auto"/>
            </w:tcBorders>
            <w:shd w:val="clear" w:color="auto" w:fill="auto"/>
            <w:vAlign w:val="center"/>
          </w:tcPr>
          <w:p w14:paraId="249305E7" w14:textId="77777777" w:rsidR="002A1146" w:rsidRPr="00CC03D5" w:rsidRDefault="001F3BC6" w:rsidP="000A162D">
            <w:pPr>
              <w:pStyle w:val="TableParagraph"/>
              <w:jc w:val="center"/>
              <w:rPr>
                <w:rFonts w:ascii="Arial" w:eastAsia="Arial" w:hAnsi="Arial" w:cs="Arial"/>
                <w:spacing w:val="-1"/>
                <w:sz w:val="16"/>
                <w:szCs w:val="16"/>
                <w:lang w:val="cs-CZ"/>
              </w:rPr>
            </w:pPr>
            <w:r>
              <w:rPr>
                <w:rFonts w:ascii="Arial" w:eastAsia="Arial" w:hAnsi="Arial" w:cs="Arial"/>
                <w:spacing w:val="-1"/>
                <w:sz w:val="16"/>
                <w:szCs w:val="16"/>
                <w:lang w:val="cs-CZ"/>
              </w:rPr>
              <w:t>—</w:t>
            </w:r>
          </w:p>
        </w:tc>
        <w:tc>
          <w:tcPr>
            <w:tcW w:w="2552" w:type="dxa"/>
            <w:tcBorders>
              <w:bottom w:val="single" w:sz="4" w:space="0" w:color="auto"/>
            </w:tcBorders>
            <w:shd w:val="clear" w:color="auto" w:fill="auto"/>
            <w:vAlign w:val="center"/>
          </w:tcPr>
          <w:p w14:paraId="37563846" w14:textId="77777777" w:rsidR="002A1146" w:rsidRPr="00CC03D5" w:rsidRDefault="002A1146" w:rsidP="000A162D">
            <w:pPr>
              <w:pStyle w:val="TableParagraph"/>
              <w:jc w:val="center"/>
              <w:rPr>
                <w:rFonts w:ascii="Arial" w:hAnsi="Arial" w:cs="Arial"/>
                <w:spacing w:val="-1"/>
                <w:sz w:val="16"/>
                <w:szCs w:val="16"/>
                <w:lang w:val="cs-CZ"/>
              </w:rPr>
            </w:pPr>
          </w:p>
        </w:tc>
      </w:tr>
      <w:tr w:rsidR="00170B66" w:rsidRPr="00CC03D5" w14:paraId="691C3542" w14:textId="77777777" w:rsidTr="00733615">
        <w:trPr>
          <w:cantSplit/>
        </w:trPr>
        <w:tc>
          <w:tcPr>
            <w:tcW w:w="0" w:type="auto"/>
            <w:shd w:val="clear" w:color="auto" w:fill="D9D9D9" w:themeFill="background1" w:themeFillShade="D9"/>
            <w:vAlign w:val="center"/>
          </w:tcPr>
          <w:p w14:paraId="4A85E73F" w14:textId="77777777" w:rsidR="00170B66" w:rsidRPr="00CC03D5" w:rsidRDefault="00170B66" w:rsidP="000A162D">
            <w:pPr>
              <w:pStyle w:val="TableParagraph"/>
              <w:jc w:val="center"/>
              <w:rPr>
                <w:rFonts w:ascii="Arial" w:eastAsia="Arial" w:hAnsi="Arial" w:cs="Arial"/>
                <w:sz w:val="16"/>
                <w:szCs w:val="16"/>
                <w:lang w:val="cs-CZ"/>
              </w:rPr>
            </w:pPr>
            <w:r w:rsidRPr="00CC03D5">
              <w:rPr>
                <w:rFonts w:ascii="Arial" w:eastAsia="Arial" w:hAnsi="Arial" w:cs="Arial"/>
                <w:b/>
                <w:bCs/>
                <w:spacing w:val="-1"/>
                <w:sz w:val="16"/>
                <w:szCs w:val="16"/>
                <w:lang w:val="cs-CZ"/>
              </w:rPr>
              <w:t>22</w:t>
            </w:r>
          </w:p>
        </w:tc>
        <w:tc>
          <w:tcPr>
            <w:tcW w:w="1168" w:type="dxa"/>
            <w:shd w:val="clear" w:color="auto" w:fill="D9D9D9" w:themeFill="background1" w:themeFillShade="D9"/>
            <w:vAlign w:val="center"/>
          </w:tcPr>
          <w:p w14:paraId="0E054AC9" w14:textId="77777777" w:rsidR="00170B66" w:rsidRPr="00CC03D5" w:rsidRDefault="00170B66" w:rsidP="000A162D">
            <w:pPr>
              <w:pStyle w:val="TableParagraph"/>
              <w:rPr>
                <w:rFonts w:ascii="Arial" w:eastAsia="Arial" w:hAnsi="Arial" w:cs="Arial"/>
                <w:sz w:val="16"/>
                <w:szCs w:val="16"/>
                <w:lang w:val="cs-CZ"/>
              </w:rPr>
            </w:pPr>
            <w:proofErr w:type="spellStart"/>
            <w:r w:rsidRPr="00CC03D5">
              <w:rPr>
                <w:rFonts w:ascii="Arial" w:eastAsia="Arial" w:hAnsi="Arial" w:cs="Arial"/>
                <w:b/>
                <w:bCs/>
                <w:sz w:val="16"/>
                <w:szCs w:val="16"/>
                <w:lang w:val="cs-CZ"/>
              </w:rPr>
              <w:t>P</w:t>
            </w:r>
            <w:r w:rsidRPr="00CC03D5">
              <w:rPr>
                <w:rFonts w:ascii="Arial" w:eastAsia="Arial" w:hAnsi="Arial" w:cs="Arial"/>
                <w:b/>
                <w:bCs/>
                <w:spacing w:val="-1"/>
                <w:sz w:val="16"/>
                <w:szCs w:val="16"/>
                <w:lang w:val="cs-CZ"/>
              </w:rPr>
              <w:t>e</w:t>
            </w:r>
            <w:r w:rsidRPr="00CC03D5">
              <w:rPr>
                <w:rFonts w:ascii="Arial" w:eastAsia="Arial" w:hAnsi="Arial" w:cs="Arial"/>
                <w:b/>
                <w:bCs/>
                <w:sz w:val="16"/>
                <w:szCs w:val="16"/>
                <w:lang w:val="cs-CZ"/>
              </w:rPr>
              <w:t>n</w:t>
            </w:r>
            <w:r w:rsidRPr="00CC03D5">
              <w:rPr>
                <w:rFonts w:ascii="Arial" w:eastAsia="Arial" w:hAnsi="Arial" w:cs="Arial"/>
                <w:b/>
                <w:bCs/>
                <w:spacing w:val="-1"/>
                <w:sz w:val="16"/>
                <w:szCs w:val="16"/>
                <w:lang w:val="cs-CZ"/>
              </w:rPr>
              <w:t>tac</w:t>
            </w:r>
            <w:r w:rsidRPr="00CC03D5">
              <w:rPr>
                <w:rFonts w:ascii="Arial" w:eastAsia="Arial" w:hAnsi="Arial" w:cs="Arial"/>
                <w:b/>
                <w:bCs/>
                <w:sz w:val="16"/>
                <w:szCs w:val="16"/>
                <w:lang w:val="cs-CZ"/>
              </w:rPr>
              <w:t>hlo</w:t>
            </w:r>
            <w:r w:rsidRPr="00CC03D5">
              <w:rPr>
                <w:rFonts w:ascii="Arial" w:eastAsia="Arial" w:hAnsi="Arial" w:cs="Arial"/>
                <w:b/>
                <w:bCs/>
                <w:spacing w:val="-3"/>
                <w:sz w:val="16"/>
                <w:szCs w:val="16"/>
                <w:lang w:val="cs-CZ"/>
              </w:rPr>
              <w:t>r</w:t>
            </w:r>
            <w:r w:rsidRPr="00CC03D5">
              <w:rPr>
                <w:rFonts w:ascii="Arial" w:eastAsia="Arial" w:hAnsi="Arial" w:cs="Arial"/>
                <w:b/>
                <w:bCs/>
                <w:sz w:val="16"/>
                <w:szCs w:val="16"/>
                <w:lang w:val="cs-CZ"/>
              </w:rPr>
              <w:t>b</w:t>
            </w:r>
            <w:r w:rsidRPr="00CC03D5">
              <w:rPr>
                <w:rFonts w:ascii="Arial" w:eastAsia="Arial" w:hAnsi="Arial" w:cs="Arial"/>
                <w:b/>
                <w:bCs/>
                <w:spacing w:val="-1"/>
                <w:sz w:val="16"/>
                <w:szCs w:val="16"/>
                <w:lang w:val="cs-CZ"/>
              </w:rPr>
              <w:t>e</w:t>
            </w:r>
            <w:r w:rsidRPr="00CC03D5">
              <w:rPr>
                <w:rFonts w:ascii="Arial" w:eastAsia="Arial" w:hAnsi="Arial" w:cs="Arial"/>
                <w:b/>
                <w:bCs/>
                <w:spacing w:val="-3"/>
                <w:sz w:val="16"/>
                <w:szCs w:val="16"/>
                <w:lang w:val="cs-CZ"/>
              </w:rPr>
              <w:t>n</w:t>
            </w:r>
            <w:r w:rsidRPr="00CC03D5">
              <w:rPr>
                <w:rFonts w:ascii="Arial" w:eastAsia="Arial" w:hAnsi="Arial" w:cs="Arial"/>
                <w:b/>
                <w:bCs/>
                <w:spacing w:val="1"/>
                <w:sz w:val="16"/>
                <w:szCs w:val="16"/>
                <w:lang w:val="cs-CZ"/>
              </w:rPr>
              <w:t>z</w:t>
            </w:r>
            <w:r w:rsidRPr="00CC03D5">
              <w:rPr>
                <w:rFonts w:ascii="Arial" w:eastAsia="Arial" w:hAnsi="Arial" w:cs="Arial"/>
                <w:b/>
                <w:bCs/>
                <w:spacing w:val="-1"/>
                <w:sz w:val="16"/>
                <w:szCs w:val="16"/>
                <w:lang w:val="cs-CZ"/>
              </w:rPr>
              <w:t>en</w:t>
            </w:r>
            <w:proofErr w:type="spellEnd"/>
          </w:p>
        </w:tc>
        <w:tc>
          <w:tcPr>
            <w:tcW w:w="828" w:type="dxa"/>
            <w:shd w:val="clear" w:color="auto" w:fill="D9D9D9" w:themeFill="background1" w:themeFillShade="D9"/>
            <w:vAlign w:val="center"/>
          </w:tcPr>
          <w:p w14:paraId="7C12C4E7" w14:textId="77777777" w:rsidR="00170B66" w:rsidRPr="00CC03D5" w:rsidRDefault="00170B66" w:rsidP="000A162D">
            <w:pPr>
              <w:pStyle w:val="TableParagraph"/>
              <w:jc w:val="center"/>
              <w:rPr>
                <w:rFonts w:ascii="Arial" w:eastAsia="Arial" w:hAnsi="Arial" w:cs="Arial"/>
                <w:sz w:val="16"/>
                <w:szCs w:val="16"/>
                <w:lang w:val="cs-CZ"/>
              </w:rPr>
            </w:pPr>
            <w:proofErr w:type="spellStart"/>
            <w:r w:rsidRPr="00CC03D5">
              <w:rPr>
                <w:rFonts w:ascii="Arial" w:eastAsia="Arial" w:hAnsi="Arial" w:cs="Arial"/>
                <w:b/>
                <w:bCs/>
                <w:sz w:val="16"/>
                <w:szCs w:val="16"/>
                <w:lang w:val="cs-CZ"/>
              </w:rPr>
              <w:t>μg</w:t>
            </w:r>
            <w:proofErr w:type="spellEnd"/>
            <w:r w:rsidRPr="00CC03D5">
              <w:rPr>
                <w:rFonts w:ascii="Arial" w:eastAsia="Arial" w:hAnsi="Arial" w:cs="Arial"/>
                <w:b/>
                <w:bCs/>
                <w:sz w:val="16"/>
                <w:szCs w:val="16"/>
                <w:lang w:val="cs-CZ"/>
              </w:rPr>
              <w:t>/</w:t>
            </w:r>
            <w:r w:rsidRPr="00CC03D5">
              <w:rPr>
                <w:rFonts w:ascii="Arial" w:eastAsia="Arial" w:hAnsi="Arial" w:cs="Arial"/>
                <w:b/>
                <w:bCs/>
                <w:spacing w:val="-1"/>
                <w:sz w:val="16"/>
                <w:szCs w:val="16"/>
                <w:lang w:val="cs-CZ"/>
              </w:rPr>
              <w:t>kg</w:t>
            </w:r>
          </w:p>
        </w:tc>
        <w:tc>
          <w:tcPr>
            <w:tcW w:w="1480" w:type="dxa"/>
            <w:gridSpan w:val="2"/>
            <w:tcBorders>
              <w:bottom w:val="single" w:sz="4" w:space="0" w:color="auto"/>
            </w:tcBorders>
            <w:shd w:val="clear" w:color="auto" w:fill="D9D9D9" w:themeFill="background1" w:themeFillShade="D9"/>
            <w:vAlign w:val="center"/>
          </w:tcPr>
          <w:p w14:paraId="7718C17C" w14:textId="77777777" w:rsidR="00170B66" w:rsidRPr="00CC03D5" w:rsidRDefault="00170B66" w:rsidP="000A162D">
            <w:pPr>
              <w:pStyle w:val="TableParagraph"/>
              <w:jc w:val="center"/>
              <w:rPr>
                <w:rFonts w:ascii="Arial" w:eastAsia="Arial" w:hAnsi="Arial" w:cs="Arial"/>
                <w:spacing w:val="-1"/>
                <w:sz w:val="16"/>
                <w:szCs w:val="16"/>
                <w:lang w:val="cs-CZ"/>
              </w:rPr>
            </w:pPr>
            <w:r w:rsidRPr="00CC03D5">
              <w:rPr>
                <w:rFonts w:ascii="Arial" w:eastAsia="Arial" w:hAnsi="Arial" w:cs="Arial"/>
                <w:b/>
                <w:bCs/>
                <w:sz w:val="16"/>
                <w:szCs w:val="16"/>
                <w:lang w:val="cs-CZ"/>
              </w:rPr>
              <w:t>1</w:t>
            </w:r>
          </w:p>
        </w:tc>
        <w:tc>
          <w:tcPr>
            <w:tcW w:w="1752" w:type="dxa"/>
            <w:tcBorders>
              <w:bottom w:val="single" w:sz="4" w:space="0" w:color="auto"/>
            </w:tcBorders>
            <w:shd w:val="clear" w:color="auto" w:fill="D9D9D9" w:themeFill="background1" w:themeFillShade="D9"/>
            <w:vAlign w:val="center"/>
          </w:tcPr>
          <w:p w14:paraId="0BC39DB9" w14:textId="77777777" w:rsidR="00170B66" w:rsidRPr="00CC03D5" w:rsidRDefault="00170B66" w:rsidP="000A162D">
            <w:pPr>
              <w:pStyle w:val="TableParagraph"/>
              <w:jc w:val="center"/>
              <w:rPr>
                <w:rFonts w:ascii="Arial" w:eastAsia="Arial" w:hAnsi="Arial" w:cs="Arial"/>
                <w:sz w:val="16"/>
                <w:szCs w:val="16"/>
                <w:lang w:val="cs-CZ"/>
              </w:rPr>
            </w:pPr>
            <w:r w:rsidRPr="00CC03D5">
              <w:rPr>
                <w:rFonts w:ascii="Arial" w:eastAsia="Arial" w:hAnsi="Arial" w:cs="Arial"/>
                <w:spacing w:val="-1"/>
                <w:sz w:val="16"/>
                <w:szCs w:val="16"/>
                <w:lang w:val="cs-CZ"/>
              </w:rPr>
              <w:t>GÜ</w:t>
            </w:r>
            <w:r w:rsidRPr="00CC03D5">
              <w:rPr>
                <w:rFonts w:ascii="Arial" w:eastAsia="Arial" w:hAnsi="Arial" w:cs="Arial"/>
                <w:sz w:val="16"/>
                <w:szCs w:val="16"/>
                <w:lang w:val="cs-CZ"/>
              </w:rPr>
              <w:t>B</w:t>
            </w:r>
            <w:r w:rsidRPr="00CC03D5">
              <w:rPr>
                <w:rFonts w:ascii="Arial" w:eastAsia="Arial" w:hAnsi="Arial" w:cs="Arial"/>
                <w:spacing w:val="-2"/>
                <w:sz w:val="16"/>
                <w:szCs w:val="16"/>
                <w:lang w:val="cs-CZ"/>
              </w:rPr>
              <w:t>AK</w:t>
            </w:r>
          </w:p>
        </w:tc>
        <w:tc>
          <w:tcPr>
            <w:tcW w:w="2694" w:type="dxa"/>
            <w:tcBorders>
              <w:bottom w:val="single" w:sz="4" w:space="0" w:color="auto"/>
            </w:tcBorders>
            <w:shd w:val="clear" w:color="auto" w:fill="D9D9D9" w:themeFill="background1" w:themeFillShade="D9"/>
            <w:vAlign w:val="center"/>
          </w:tcPr>
          <w:p w14:paraId="6A86766E" w14:textId="77777777" w:rsidR="00170B66" w:rsidRPr="00CC03D5" w:rsidRDefault="00170B66" w:rsidP="000A162D">
            <w:pPr>
              <w:pStyle w:val="TableParagraph"/>
              <w:jc w:val="center"/>
              <w:rPr>
                <w:rFonts w:ascii="Arial" w:eastAsia="Calibri" w:hAnsi="Arial" w:cs="Arial"/>
                <w:sz w:val="16"/>
                <w:szCs w:val="16"/>
                <w:lang w:val="cs-CZ"/>
              </w:rPr>
            </w:pPr>
            <w:r w:rsidRPr="00CC03D5">
              <w:rPr>
                <w:rFonts w:ascii="Arial" w:hAnsi="Arial" w:cs="Arial"/>
                <w:spacing w:val="-1"/>
                <w:sz w:val="16"/>
                <w:szCs w:val="16"/>
                <w:lang w:val="cs-CZ"/>
              </w:rPr>
              <w:t>FGG Elbe 2013 / IKSE 2014</w:t>
            </w:r>
          </w:p>
        </w:tc>
        <w:tc>
          <w:tcPr>
            <w:tcW w:w="1559" w:type="dxa"/>
            <w:gridSpan w:val="2"/>
            <w:tcBorders>
              <w:bottom w:val="single" w:sz="4" w:space="0" w:color="auto"/>
            </w:tcBorders>
            <w:shd w:val="clear" w:color="auto" w:fill="D9D9D9" w:themeFill="background1" w:themeFillShade="D9"/>
            <w:vAlign w:val="center"/>
          </w:tcPr>
          <w:p w14:paraId="437A4AF4" w14:textId="77777777" w:rsidR="00170B66" w:rsidRPr="00CC03D5" w:rsidRDefault="00170B66" w:rsidP="000A162D">
            <w:pPr>
              <w:pStyle w:val="TableParagraph"/>
              <w:jc w:val="center"/>
              <w:rPr>
                <w:rFonts w:ascii="Arial" w:eastAsia="Arial" w:hAnsi="Arial" w:cs="Arial"/>
                <w:spacing w:val="-1"/>
                <w:sz w:val="16"/>
                <w:szCs w:val="16"/>
                <w:lang w:val="cs-CZ"/>
              </w:rPr>
            </w:pPr>
            <w:r w:rsidRPr="00CC03D5">
              <w:rPr>
                <w:rFonts w:ascii="Arial" w:eastAsia="Arial" w:hAnsi="Arial" w:cs="Arial"/>
                <w:b/>
                <w:bCs/>
                <w:spacing w:val="-1"/>
                <w:sz w:val="16"/>
                <w:szCs w:val="16"/>
                <w:lang w:val="cs-CZ"/>
              </w:rPr>
              <w:t>400</w:t>
            </w:r>
          </w:p>
        </w:tc>
        <w:tc>
          <w:tcPr>
            <w:tcW w:w="1559" w:type="dxa"/>
            <w:tcBorders>
              <w:bottom w:val="single" w:sz="4" w:space="0" w:color="auto"/>
            </w:tcBorders>
            <w:shd w:val="clear" w:color="auto" w:fill="D9D9D9" w:themeFill="background1" w:themeFillShade="D9"/>
            <w:vAlign w:val="center"/>
          </w:tcPr>
          <w:p w14:paraId="459A492F" w14:textId="77777777" w:rsidR="00170B66" w:rsidRPr="00CC03D5" w:rsidRDefault="00170B66" w:rsidP="000A162D">
            <w:pPr>
              <w:pStyle w:val="TableParagraph"/>
              <w:jc w:val="center"/>
              <w:rPr>
                <w:rFonts w:ascii="Arial" w:eastAsia="Arial" w:hAnsi="Arial" w:cs="Arial"/>
                <w:sz w:val="16"/>
                <w:szCs w:val="16"/>
                <w:lang w:val="cs-CZ"/>
              </w:rPr>
            </w:pPr>
            <w:r w:rsidRPr="00CC03D5">
              <w:rPr>
                <w:rFonts w:ascii="Arial" w:eastAsia="Arial" w:hAnsi="Arial" w:cs="Arial"/>
                <w:spacing w:val="-1"/>
                <w:sz w:val="16"/>
                <w:szCs w:val="16"/>
                <w:lang w:val="cs-CZ"/>
              </w:rPr>
              <w:t>23</w:t>
            </w:r>
            <w:r w:rsidRPr="00CC03D5">
              <w:rPr>
                <w:rFonts w:ascii="Arial" w:eastAsia="Arial" w:hAnsi="Arial" w:cs="Arial"/>
                <w:sz w:val="16"/>
                <w:szCs w:val="16"/>
                <w:lang w:val="cs-CZ"/>
              </w:rPr>
              <w:t>/</w:t>
            </w:r>
            <w:r w:rsidRPr="00CC03D5">
              <w:rPr>
                <w:rFonts w:ascii="Arial" w:eastAsia="Arial" w:hAnsi="Arial" w:cs="Arial"/>
                <w:spacing w:val="-1"/>
                <w:sz w:val="16"/>
                <w:szCs w:val="16"/>
                <w:lang w:val="cs-CZ"/>
              </w:rPr>
              <w:t>201</w:t>
            </w:r>
            <w:r w:rsidRPr="00CC03D5">
              <w:rPr>
                <w:rFonts w:ascii="Arial" w:eastAsia="Arial" w:hAnsi="Arial" w:cs="Arial"/>
                <w:sz w:val="16"/>
                <w:szCs w:val="16"/>
                <w:lang w:val="cs-CZ"/>
              </w:rPr>
              <w:t>1 S</w:t>
            </w:r>
            <w:r w:rsidRPr="00CC03D5">
              <w:rPr>
                <w:rFonts w:ascii="Arial" w:eastAsia="Arial" w:hAnsi="Arial" w:cs="Arial"/>
                <w:spacing w:val="-1"/>
                <w:sz w:val="16"/>
                <w:szCs w:val="16"/>
                <w:lang w:val="cs-CZ"/>
              </w:rPr>
              <w:t>b.</w:t>
            </w:r>
          </w:p>
        </w:tc>
        <w:tc>
          <w:tcPr>
            <w:tcW w:w="2552" w:type="dxa"/>
            <w:tcBorders>
              <w:bottom w:val="single" w:sz="4" w:space="0" w:color="auto"/>
            </w:tcBorders>
            <w:shd w:val="clear" w:color="auto" w:fill="D9D9D9" w:themeFill="background1" w:themeFillShade="D9"/>
            <w:vAlign w:val="center"/>
          </w:tcPr>
          <w:p w14:paraId="4AF6620C" w14:textId="77777777" w:rsidR="00170B66" w:rsidRPr="00CC03D5" w:rsidRDefault="00170B66" w:rsidP="000A162D">
            <w:pPr>
              <w:pStyle w:val="TableParagraph"/>
              <w:jc w:val="center"/>
              <w:rPr>
                <w:rFonts w:ascii="Arial" w:eastAsia="Calibri" w:hAnsi="Arial" w:cs="Arial"/>
                <w:sz w:val="16"/>
                <w:szCs w:val="16"/>
                <w:lang w:val="cs-CZ"/>
              </w:rPr>
            </w:pPr>
            <w:r w:rsidRPr="00CC03D5">
              <w:rPr>
                <w:rFonts w:ascii="Arial" w:hAnsi="Arial" w:cs="Arial"/>
                <w:spacing w:val="-1"/>
                <w:sz w:val="16"/>
                <w:szCs w:val="16"/>
                <w:lang w:val="cs-CZ"/>
              </w:rPr>
              <w:t>FGG Elbe 2013 / IKSE 2014</w:t>
            </w:r>
          </w:p>
        </w:tc>
      </w:tr>
      <w:tr w:rsidR="00170B66" w:rsidRPr="00CC03D5" w14:paraId="53D9CA26" w14:textId="77777777" w:rsidTr="00733615">
        <w:trPr>
          <w:cantSplit/>
        </w:trPr>
        <w:tc>
          <w:tcPr>
            <w:tcW w:w="0" w:type="auto"/>
            <w:tcBorders>
              <w:bottom w:val="single" w:sz="4" w:space="0" w:color="auto"/>
            </w:tcBorders>
            <w:vAlign w:val="center"/>
          </w:tcPr>
          <w:p w14:paraId="7A340914" w14:textId="77777777" w:rsidR="00170B66" w:rsidRPr="00CC03D5" w:rsidRDefault="00170B66" w:rsidP="000A162D">
            <w:pPr>
              <w:pStyle w:val="TableParagraph"/>
              <w:jc w:val="center"/>
              <w:rPr>
                <w:rFonts w:ascii="Arial" w:eastAsia="Arial" w:hAnsi="Arial" w:cs="Arial"/>
                <w:sz w:val="16"/>
                <w:szCs w:val="16"/>
                <w:lang w:val="cs-CZ"/>
              </w:rPr>
            </w:pPr>
            <w:r w:rsidRPr="00CC03D5">
              <w:rPr>
                <w:rFonts w:ascii="Arial" w:eastAsia="Arial" w:hAnsi="Arial" w:cs="Arial"/>
                <w:b/>
                <w:bCs/>
                <w:spacing w:val="-1"/>
                <w:sz w:val="16"/>
                <w:szCs w:val="16"/>
                <w:lang w:val="cs-CZ"/>
              </w:rPr>
              <w:t>23</w:t>
            </w:r>
          </w:p>
        </w:tc>
        <w:tc>
          <w:tcPr>
            <w:tcW w:w="1168" w:type="dxa"/>
            <w:tcBorders>
              <w:bottom w:val="single" w:sz="4" w:space="0" w:color="auto"/>
            </w:tcBorders>
            <w:vAlign w:val="center"/>
          </w:tcPr>
          <w:p w14:paraId="394D37E1" w14:textId="77777777" w:rsidR="00170B66" w:rsidRPr="00CC03D5" w:rsidRDefault="00170B66" w:rsidP="000A162D">
            <w:pPr>
              <w:pStyle w:val="TableParagraph"/>
              <w:rPr>
                <w:rFonts w:ascii="Arial" w:eastAsia="Arial" w:hAnsi="Arial" w:cs="Arial"/>
                <w:sz w:val="16"/>
                <w:szCs w:val="16"/>
                <w:lang w:val="cs-CZ"/>
              </w:rPr>
            </w:pPr>
            <w:r w:rsidRPr="00CC03D5">
              <w:rPr>
                <w:rFonts w:ascii="Arial" w:eastAsia="Arial" w:hAnsi="Arial" w:cs="Arial"/>
                <w:b/>
                <w:bCs/>
                <w:spacing w:val="-1"/>
                <w:sz w:val="16"/>
                <w:szCs w:val="16"/>
                <w:lang w:val="cs-CZ"/>
              </w:rPr>
              <w:t>HCB</w:t>
            </w:r>
          </w:p>
        </w:tc>
        <w:tc>
          <w:tcPr>
            <w:tcW w:w="828" w:type="dxa"/>
            <w:tcBorders>
              <w:bottom w:val="single" w:sz="4" w:space="0" w:color="auto"/>
            </w:tcBorders>
            <w:vAlign w:val="center"/>
          </w:tcPr>
          <w:p w14:paraId="62659711" w14:textId="77777777" w:rsidR="00170B66" w:rsidRPr="00CC03D5" w:rsidRDefault="00170B66" w:rsidP="000A162D">
            <w:pPr>
              <w:pStyle w:val="TableParagraph"/>
              <w:jc w:val="center"/>
              <w:rPr>
                <w:rFonts w:ascii="Arial" w:eastAsia="Arial" w:hAnsi="Arial" w:cs="Arial"/>
                <w:sz w:val="16"/>
                <w:szCs w:val="16"/>
                <w:lang w:val="cs-CZ"/>
              </w:rPr>
            </w:pPr>
            <w:proofErr w:type="spellStart"/>
            <w:r w:rsidRPr="00CC03D5">
              <w:rPr>
                <w:rFonts w:ascii="Arial" w:eastAsia="Arial" w:hAnsi="Arial" w:cs="Arial"/>
                <w:b/>
                <w:bCs/>
                <w:sz w:val="16"/>
                <w:szCs w:val="16"/>
                <w:lang w:val="cs-CZ"/>
              </w:rPr>
              <w:t>μg</w:t>
            </w:r>
            <w:proofErr w:type="spellEnd"/>
            <w:r w:rsidRPr="00CC03D5">
              <w:rPr>
                <w:rFonts w:ascii="Arial" w:eastAsia="Arial" w:hAnsi="Arial" w:cs="Arial"/>
                <w:b/>
                <w:bCs/>
                <w:sz w:val="16"/>
                <w:szCs w:val="16"/>
                <w:lang w:val="cs-CZ"/>
              </w:rPr>
              <w:t>/</w:t>
            </w:r>
            <w:r w:rsidRPr="00CC03D5">
              <w:rPr>
                <w:rFonts w:ascii="Arial" w:eastAsia="Arial" w:hAnsi="Arial" w:cs="Arial"/>
                <w:b/>
                <w:bCs/>
                <w:spacing w:val="-1"/>
                <w:sz w:val="16"/>
                <w:szCs w:val="16"/>
                <w:lang w:val="cs-CZ"/>
              </w:rPr>
              <w:t>kg</w:t>
            </w:r>
          </w:p>
        </w:tc>
        <w:tc>
          <w:tcPr>
            <w:tcW w:w="1480" w:type="dxa"/>
            <w:gridSpan w:val="2"/>
            <w:tcBorders>
              <w:bottom w:val="single" w:sz="4" w:space="0" w:color="auto"/>
            </w:tcBorders>
            <w:shd w:val="clear" w:color="auto" w:fill="CAFBA5"/>
            <w:vAlign w:val="center"/>
          </w:tcPr>
          <w:p w14:paraId="6E614954" w14:textId="77777777" w:rsidR="00170B66" w:rsidRPr="00CC03D5" w:rsidRDefault="00170B66" w:rsidP="000A162D">
            <w:pPr>
              <w:pStyle w:val="TableParagraph"/>
              <w:jc w:val="center"/>
              <w:rPr>
                <w:rFonts w:ascii="Arial" w:eastAsia="Arial" w:hAnsi="Arial" w:cs="Arial"/>
                <w:spacing w:val="-1"/>
                <w:sz w:val="16"/>
                <w:szCs w:val="16"/>
                <w:lang w:val="cs-CZ"/>
              </w:rPr>
            </w:pPr>
            <w:r w:rsidRPr="00CC03D5">
              <w:rPr>
                <w:rFonts w:ascii="Arial" w:eastAsia="Arial" w:hAnsi="Arial" w:cs="Arial"/>
                <w:b/>
                <w:bCs/>
                <w:spacing w:val="-1"/>
                <w:sz w:val="16"/>
                <w:szCs w:val="16"/>
                <w:lang w:val="cs-CZ"/>
              </w:rPr>
              <w:t>0</w:t>
            </w:r>
            <w:r w:rsidRPr="00CC03D5">
              <w:rPr>
                <w:rFonts w:ascii="Arial" w:eastAsia="Arial" w:hAnsi="Arial" w:cs="Arial"/>
                <w:b/>
                <w:bCs/>
                <w:sz w:val="16"/>
                <w:szCs w:val="16"/>
                <w:lang w:val="cs-CZ"/>
              </w:rPr>
              <w:t>,</w:t>
            </w:r>
            <w:r w:rsidRPr="00CC03D5">
              <w:rPr>
                <w:rFonts w:ascii="Arial" w:eastAsia="Arial" w:hAnsi="Arial" w:cs="Arial"/>
                <w:b/>
                <w:bCs/>
                <w:spacing w:val="-1"/>
                <w:sz w:val="16"/>
                <w:szCs w:val="16"/>
                <w:lang w:val="cs-CZ"/>
              </w:rPr>
              <w:t>0004</w:t>
            </w:r>
          </w:p>
        </w:tc>
        <w:tc>
          <w:tcPr>
            <w:tcW w:w="1752" w:type="dxa"/>
            <w:tcBorders>
              <w:bottom w:val="single" w:sz="4" w:space="0" w:color="auto"/>
            </w:tcBorders>
            <w:shd w:val="clear" w:color="auto" w:fill="CAFBA5"/>
            <w:vAlign w:val="center"/>
          </w:tcPr>
          <w:p w14:paraId="254719C6" w14:textId="77777777" w:rsidR="00170B66" w:rsidRPr="00CC03D5" w:rsidRDefault="00170B66" w:rsidP="000A162D">
            <w:pPr>
              <w:pStyle w:val="TableParagraph"/>
              <w:jc w:val="center"/>
              <w:rPr>
                <w:rFonts w:ascii="Arial" w:eastAsia="Arial" w:hAnsi="Arial" w:cs="Arial"/>
                <w:sz w:val="16"/>
                <w:szCs w:val="16"/>
                <w:lang w:val="cs-CZ"/>
              </w:rPr>
            </w:pPr>
            <w:r w:rsidRPr="00CC03D5">
              <w:rPr>
                <w:rFonts w:ascii="Arial" w:eastAsia="Arial" w:hAnsi="Arial" w:cs="Arial"/>
                <w:spacing w:val="-1"/>
                <w:sz w:val="16"/>
                <w:szCs w:val="16"/>
                <w:lang w:val="cs-CZ"/>
              </w:rPr>
              <w:t>d</w:t>
            </w:r>
            <w:r w:rsidRPr="00CC03D5">
              <w:rPr>
                <w:rFonts w:ascii="Arial" w:eastAsia="Arial" w:hAnsi="Arial" w:cs="Arial"/>
                <w:sz w:val="16"/>
                <w:szCs w:val="16"/>
                <w:lang w:val="cs-CZ"/>
              </w:rPr>
              <w:t xml:space="preserve">e </w:t>
            </w:r>
            <w:proofErr w:type="spellStart"/>
            <w:proofErr w:type="gramStart"/>
            <w:r w:rsidRPr="00CC03D5">
              <w:rPr>
                <w:rFonts w:ascii="Arial" w:eastAsia="Arial" w:hAnsi="Arial" w:cs="Arial"/>
                <w:spacing w:val="-1"/>
                <w:sz w:val="16"/>
                <w:szCs w:val="16"/>
                <w:lang w:val="cs-CZ"/>
              </w:rPr>
              <w:t>De</w:t>
            </w:r>
            <w:r w:rsidRPr="00CC03D5">
              <w:rPr>
                <w:rFonts w:ascii="Arial" w:eastAsia="Arial" w:hAnsi="Arial" w:cs="Arial"/>
                <w:spacing w:val="1"/>
                <w:sz w:val="16"/>
                <w:szCs w:val="16"/>
                <w:lang w:val="cs-CZ"/>
              </w:rPr>
              <w:t>ck</w:t>
            </w:r>
            <w:r w:rsidRPr="00CC03D5">
              <w:rPr>
                <w:rFonts w:ascii="Arial" w:eastAsia="Arial" w:hAnsi="Arial" w:cs="Arial"/>
                <w:spacing w:val="-1"/>
                <w:sz w:val="16"/>
                <w:szCs w:val="16"/>
                <w:lang w:val="cs-CZ"/>
              </w:rPr>
              <w:t>er</w:t>
            </w:r>
            <w:r w:rsidRPr="00CC03D5">
              <w:rPr>
                <w:rFonts w:ascii="Arial" w:eastAsia="Arial" w:hAnsi="Arial" w:cs="Arial"/>
                <w:sz w:val="16"/>
                <w:szCs w:val="16"/>
                <w:lang w:val="cs-CZ"/>
              </w:rPr>
              <w:t>e</w:t>
            </w:r>
            <w:proofErr w:type="spellEnd"/>
            <w:proofErr w:type="gramEnd"/>
          </w:p>
        </w:tc>
        <w:tc>
          <w:tcPr>
            <w:tcW w:w="2694" w:type="dxa"/>
            <w:tcBorders>
              <w:bottom w:val="single" w:sz="4" w:space="0" w:color="auto"/>
            </w:tcBorders>
            <w:shd w:val="clear" w:color="auto" w:fill="CAFBA5"/>
            <w:vAlign w:val="center"/>
          </w:tcPr>
          <w:p w14:paraId="33B476F4" w14:textId="77777777" w:rsidR="00170B66" w:rsidRPr="00CC03D5" w:rsidRDefault="00170B66" w:rsidP="000A162D">
            <w:pPr>
              <w:pStyle w:val="TableParagraph"/>
              <w:jc w:val="center"/>
              <w:rPr>
                <w:rFonts w:ascii="Arial" w:eastAsia="Calibri" w:hAnsi="Arial" w:cs="Arial"/>
                <w:sz w:val="16"/>
                <w:szCs w:val="16"/>
                <w:lang w:val="cs-CZ"/>
              </w:rPr>
            </w:pPr>
            <w:r w:rsidRPr="00CC03D5">
              <w:rPr>
                <w:rFonts w:ascii="Arial" w:hAnsi="Arial" w:cs="Arial"/>
                <w:spacing w:val="-1"/>
                <w:sz w:val="16"/>
                <w:szCs w:val="16"/>
                <w:lang w:val="cs-CZ"/>
              </w:rPr>
              <w:t>FGG Elbe 2013 / IKSE 2014</w:t>
            </w:r>
          </w:p>
        </w:tc>
        <w:tc>
          <w:tcPr>
            <w:tcW w:w="1559" w:type="dxa"/>
            <w:gridSpan w:val="2"/>
            <w:tcBorders>
              <w:bottom w:val="single" w:sz="4" w:space="0" w:color="auto"/>
            </w:tcBorders>
            <w:shd w:val="clear" w:color="auto" w:fill="F7CAAC" w:themeFill="accent2" w:themeFillTint="66"/>
            <w:vAlign w:val="center"/>
          </w:tcPr>
          <w:p w14:paraId="2D44470F" w14:textId="77777777" w:rsidR="00170B66" w:rsidRPr="00CC03D5" w:rsidRDefault="00170B66" w:rsidP="000A162D">
            <w:pPr>
              <w:pStyle w:val="TableParagraph"/>
              <w:jc w:val="center"/>
              <w:rPr>
                <w:rFonts w:ascii="Arial" w:eastAsia="Arial" w:hAnsi="Arial" w:cs="Arial"/>
                <w:spacing w:val="-1"/>
                <w:sz w:val="16"/>
                <w:szCs w:val="16"/>
                <w:lang w:val="cs-CZ"/>
              </w:rPr>
            </w:pPr>
            <w:r w:rsidRPr="00CC03D5">
              <w:rPr>
                <w:rFonts w:ascii="Arial" w:eastAsia="Arial" w:hAnsi="Arial" w:cs="Arial"/>
                <w:b/>
                <w:bCs/>
                <w:spacing w:val="-1"/>
                <w:sz w:val="16"/>
                <w:szCs w:val="16"/>
                <w:lang w:val="cs-CZ"/>
              </w:rPr>
              <w:t>17</w:t>
            </w:r>
          </w:p>
        </w:tc>
        <w:tc>
          <w:tcPr>
            <w:tcW w:w="1559" w:type="dxa"/>
            <w:tcBorders>
              <w:bottom w:val="single" w:sz="4" w:space="0" w:color="auto"/>
            </w:tcBorders>
            <w:shd w:val="clear" w:color="auto" w:fill="F7CAAC" w:themeFill="accent2" w:themeFillTint="66"/>
            <w:vAlign w:val="center"/>
          </w:tcPr>
          <w:p w14:paraId="2F66CAD0" w14:textId="77777777" w:rsidR="00170B66" w:rsidRPr="00CC03D5" w:rsidRDefault="00170B66" w:rsidP="000A162D">
            <w:pPr>
              <w:pStyle w:val="TableParagraph"/>
              <w:jc w:val="center"/>
              <w:rPr>
                <w:rFonts w:ascii="Arial" w:eastAsia="Arial" w:hAnsi="Arial" w:cs="Arial"/>
                <w:sz w:val="16"/>
                <w:szCs w:val="16"/>
                <w:lang w:val="cs-CZ"/>
              </w:rPr>
            </w:pPr>
            <w:r w:rsidRPr="00CC03D5">
              <w:rPr>
                <w:rFonts w:ascii="Arial" w:eastAsia="Arial" w:hAnsi="Arial" w:cs="Arial"/>
                <w:spacing w:val="-1"/>
                <w:sz w:val="16"/>
                <w:szCs w:val="16"/>
                <w:lang w:val="cs-CZ"/>
              </w:rPr>
              <w:t>23</w:t>
            </w:r>
            <w:r w:rsidRPr="00CC03D5">
              <w:rPr>
                <w:rFonts w:ascii="Arial" w:eastAsia="Arial" w:hAnsi="Arial" w:cs="Arial"/>
                <w:sz w:val="16"/>
                <w:szCs w:val="16"/>
                <w:lang w:val="cs-CZ"/>
              </w:rPr>
              <w:t>/</w:t>
            </w:r>
            <w:r w:rsidRPr="00CC03D5">
              <w:rPr>
                <w:rFonts w:ascii="Arial" w:eastAsia="Arial" w:hAnsi="Arial" w:cs="Arial"/>
                <w:spacing w:val="-1"/>
                <w:sz w:val="16"/>
                <w:szCs w:val="16"/>
                <w:lang w:val="cs-CZ"/>
              </w:rPr>
              <w:t>201</w:t>
            </w:r>
            <w:r w:rsidRPr="00CC03D5">
              <w:rPr>
                <w:rFonts w:ascii="Arial" w:eastAsia="Arial" w:hAnsi="Arial" w:cs="Arial"/>
                <w:sz w:val="16"/>
                <w:szCs w:val="16"/>
                <w:lang w:val="cs-CZ"/>
              </w:rPr>
              <w:t>1 S</w:t>
            </w:r>
            <w:r w:rsidRPr="00CC03D5">
              <w:rPr>
                <w:rFonts w:ascii="Arial" w:eastAsia="Arial" w:hAnsi="Arial" w:cs="Arial"/>
                <w:spacing w:val="-1"/>
                <w:sz w:val="16"/>
                <w:szCs w:val="16"/>
                <w:lang w:val="cs-CZ"/>
              </w:rPr>
              <w:t>b.</w:t>
            </w:r>
          </w:p>
        </w:tc>
        <w:tc>
          <w:tcPr>
            <w:tcW w:w="2552" w:type="dxa"/>
            <w:tcBorders>
              <w:bottom w:val="single" w:sz="4" w:space="0" w:color="auto"/>
            </w:tcBorders>
            <w:shd w:val="clear" w:color="auto" w:fill="F7CAAC" w:themeFill="accent2" w:themeFillTint="66"/>
            <w:vAlign w:val="center"/>
          </w:tcPr>
          <w:p w14:paraId="157F6887" w14:textId="77777777" w:rsidR="00170B66" w:rsidRPr="00CC03D5" w:rsidRDefault="00170B66" w:rsidP="000A162D">
            <w:pPr>
              <w:pStyle w:val="TableParagraph"/>
              <w:jc w:val="center"/>
              <w:rPr>
                <w:rFonts w:ascii="Arial" w:eastAsia="Calibri" w:hAnsi="Arial" w:cs="Arial"/>
                <w:sz w:val="16"/>
                <w:szCs w:val="16"/>
                <w:lang w:val="cs-CZ"/>
              </w:rPr>
            </w:pPr>
            <w:r w:rsidRPr="00CC03D5">
              <w:rPr>
                <w:rFonts w:ascii="Arial" w:hAnsi="Arial" w:cs="Arial"/>
                <w:spacing w:val="-1"/>
                <w:sz w:val="16"/>
                <w:szCs w:val="16"/>
                <w:lang w:val="cs-CZ"/>
              </w:rPr>
              <w:t>FGG Elbe 2013 / IKSE 2014</w:t>
            </w:r>
          </w:p>
        </w:tc>
      </w:tr>
      <w:tr w:rsidR="00170B66" w:rsidRPr="00CC03D5" w14:paraId="72506D04" w14:textId="77777777" w:rsidTr="00733615">
        <w:trPr>
          <w:cantSplit/>
        </w:trPr>
        <w:tc>
          <w:tcPr>
            <w:tcW w:w="0" w:type="auto"/>
            <w:shd w:val="clear" w:color="auto" w:fill="D9D9D9" w:themeFill="background1" w:themeFillShade="D9"/>
            <w:vAlign w:val="center"/>
          </w:tcPr>
          <w:p w14:paraId="652CFC1A" w14:textId="77777777" w:rsidR="00170B66" w:rsidRPr="00CC03D5" w:rsidRDefault="00170B66" w:rsidP="000A162D">
            <w:pPr>
              <w:pStyle w:val="TableParagraph"/>
              <w:jc w:val="center"/>
              <w:rPr>
                <w:rFonts w:ascii="Arial" w:eastAsia="Arial" w:hAnsi="Arial" w:cs="Arial"/>
                <w:sz w:val="16"/>
                <w:szCs w:val="16"/>
                <w:lang w:val="cs-CZ"/>
              </w:rPr>
            </w:pPr>
            <w:r w:rsidRPr="00CC03D5">
              <w:rPr>
                <w:rFonts w:ascii="Arial" w:eastAsia="Arial" w:hAnsi="Arial" w:cs="Arial"/>
                <w:b/>
                <w:bCs/>
                <w:spacing w:val="-1"/>
                <w:sz w:val="16"/>
                <w:szCs w:val="16"/>
                <w:lang w:val="cs-CZ"/>
              </w:rPr>
              <w:t>24</w:t>
            </w:r>
          </w:p>
        </w:tc>
        <w:tc>
          <w:tcPr>
            <w:tcW w:w="1168" w:type="dxa"/>
            <w:shd w:val="clear" w:color="auto" w:fill="D9D9D9" w:themeFill="background1" w:themeFillShade="D9"/>
            <w:vAlign w:val="center"/>
          </w:tcPr>
          <w:p w14:paraId="09D06BA8" w14:textId="77777777" w:rsidR="00170B66" w:rsidRPr="00CC03D5" w:rsidRDefault="00170B66" w:rsidP="000A162D">
            <w:pPr>
              <w:pStyle w:val="TableParagraph"/>
              <w:rPr>
                <w:rFonts w:ascii="Arial" w:eastAsia="Arial" w:hAnsi="Arial" w:cs="Arial"/>
                <w:sz w:val="16"/>
                <w:szCs w:val="16"/>
                <w:lang w:val="cs-CZ"/>
              </w:rPr>
            </w:pPr>
            <w:proofErr w:type="spellStart"/>
            <w:proofErr w:type="gramStart"/>
            <w:r w:rsidRPr="00CC03D5">
              <w:rPr>
                <w:rFonts w:ascii="Arial" w:eastAsia="Arial" w:hAnsi="Arial" w:cs="Arial"/>
                <w:b/>
                <w:bCs/>
                <w:spacing w:val="-1"/>
                <w:sz w:val="16"/>
                <w:szCs w:val="16"/>
                <w:lang w:val="cs-CZ"/>
              </w:rPr>
              <w:t>Be</w:t>
            </w:r>
            <w:r w:rsidRPr="00CC03D5">
              <w:rPr>
                <w:rFonts w:ascii="Arial" w:eastAsia="Arial" w:hAnsi="Arial" w:cs="Arial"/>
                <w:b/>
                <w:bCs/>
                <w:sz w:val="16"/>
                <w:szCs w:val="16"/>
                <w:lang w:val="cs-CZ"/>
              </w:rPr>
              <w:t>n</w:t>
            </w:r>
            <w:r w:rsidRPr="00CC03D5">
              <w:rPr>
                <w:rFonts w:ascii="Arial" w:eastAsia="Arial" w:hAnsi="Arial" w:cs="Arial"/>
                <w:b/>
                <w:bCs/>
                <w:spacing w:val="1"/>
                <w:sz w:val="16"/>
                <w:szCs w:val="16"/>
                <w:lang w:val="cs-CZ"/>
              </w:rPr>
              <w:t>z</w:t>
            </w:r>
            <w:r w:rsidRPr="00CC03D5">
              <w:rPr>
                <w:rFonts w:ascii="Arial" w:eastAsia="Arial" w:hAnsi="Arial" w:cs="Arial"/>
                <w:b/>
                <w:bCs/>
                <w:sz w:val="16"/>
                <w:szCs w:val="16"/>
                <w:lang w:val="cs-CZ"/>
              </w:rPr>
              <w:t>o</w:t>
            </w:r>
            <w:proofErr w:type="spellEnd"/>
            <w:r w:rsidRPr="00CC03D5">
              <w:rPr>
                <w:rFonts w:ascii="Arial" w:eastAsia="Arial" w:hAnsi="Arial" w:cs="Arial"/>
                <w:b/>
                <w:bCs/>
                <w:spacing w:val="-1"/>
                <w:sz w:val="16"/>
                <w:szCs w:val="16"/>
                <w:lang w:val="cs-CZ"/>
              </w:rPr>
              <w:t>(a)</w:t>
            </w:r>
            <w:r w:rsidRPr="00CC03D5">
              <w:rPr>
                <w:rFonts w:ascii="Arial" w:eastAsia="Arial" w:hAnsi="Arial" w:cs="Arial"/>
                <w:b/>
                <w:bCs/>
                <w:spacing w:val="2"/>
                <w:sz w:val="16"/>
                <w:szCs w:val="16"/>
                <w:lang w:val="cs-CZ"/>
              </w:rPr>
              <w:t>p</w:t>
            </w:r>
            <w:r w:rsidRPr="00CC03D5">
              <w:rPr>
                <w:rFonts w:ascii="Arial" w:eastAsia="Arial" w:hAnsi="Arial" w:cs="Arial"/>
                <w:b/>
                <w:bCs/>
                <w:spacing w:val="-8"/>
                <w:sz w:val="16"/>
                <w:szCs w:val="16"/>
                <w:lang w:val="cs-CZ"/>
              </w:rPr>
              <w:t>y</w:t>
            </w:r>
            <w:r w:rsidRPr="00CC03D5">
              <w:rPr>
                <w:rFonts w:ascii="Arial" w:eastAsia="Arial" w:hAnsi="Arial" w:cs="Arial"/>
                <w:b/>
                <w:bCs/>
                <w:spacing w:val="-1"/>
                <w:sz w:val="16"/>
                <w:szCs w:val="16"/>
                <w:lang w:val="cs-CZ"/>
              </w:rPr>
              <w:t>ren</w:t>
            </w:r>
            <w:proofErr w:type="gramEnd"/>
          </w:p>
        </w:tc>
        <w:tc>
          <w:tcPr>
            <w:tcW w:w="828" w:type="dxa"/>
            <w:shd w:val="clear" w:color="auto" w:fill="D9D9D9" w:themeFill="background1" w:themeFillShade="D9"/>
            <w:vAlign w:val="center"/>
          </w:tcPr>
          <w:p w14:paraId="1BBEC953" w14:textId="77777777" w:rsidR="00170B66" w:rsidRPr="00CC03D5" w:rsidRDefault="00A95C56" w:rsidP="000A162D">
            <w:pPr>
              <w:pStyle w:val="TableParagraph"/>
              <w:jc w:val="center"/>
              <w:rPr>
                <w:rFonts w:ascii="Arial" w:eastAsia="Arial" w:hAnsi="Arial" w:cs="Arial"/>
                <w:sz w:val="16"/>
                <w:szCs w:val="16"/>
                <w:lang w:val="cs-CZ"/>
              </w:rPr>
            </w:pPr>
            <w:proofErr w:type="spellStart"/>
            <w:r>
              <w:rPr>
                <w:rFonts w:ascii="Arial" w:eastAsia="Arial" w:hAnsi="Arial" w:cs="Arial"/>
                <w:b/>
                <w:bCs/>
                <w:sz w:val="16"/>
                <w:szCs w:val="16"/>
                <w:lang w:val="cs-CZ"/>
              </w:rPr>
              <w:t>μ</w:t>
            </w:r>
            <w:r w:rsidR="00170B66" w:rsidRPr="00CC03D5">
              <w:rPr>
                <w:rFonts w:ascii="Arial" w:eastAsia="Arial" w:hAnsi="Arial" w:cs="Arial"/>
                <w:b/>
                <w:bCs/>
                <w:sz w:val="16"/>
                <w:szCs w:val="16"/>
                <w:lang w:val="cs-CZ"/>
              </w:rPr>
              <w:t>g</w:t>
            </w:r>
            <w:proofErr w:type="spellEnd"/>
            <w:r w:rsidR="00170B66" w:rsidRPr="00CC03D5">
              <w:rPr>
                <w:rFonts w:ascii="Arial" w:eastAsia="Arial" w:hAnsi="Arial" w:cs="Arial"/>
                <w:b/>
                <w:bCs/>
                <w:sz w:val="16"/>
                <w:szCs w:val="16"/>
                <w:lang w:val="cs-CZ"/>
              </w:rPr>
              <w:t>/</w:t>
            </w:r>
            <w:r w:rsidR="00170B66" w:rsidRPr="00CC03D5">
              <w:rPr>
                <w:rFonts w:ascii="Arial" w:eastAsia="Arial" w:hAnsi="Arial" w:cs="Arial"/>
                <w:b/>
                <w:bCs/>
                <w:spacing w:val="-3"/>
                <w:sz w:val="16"/>
                <w:szCs w:val="16"/>
                <w:lang w:val="cs-CZ"/>
              </w:rPr>
              <w:t>k</w:t>
            </w:r>
            <w:r w:rsidR="00170B66" w:rsidRPr="00CC03D5">
              <w:rPr>
                <w:rFonts w:ascii="Arial" w:eastAsia="Arial" w:hAnsi="Arial" w:cs="Arial"/>
                <w:b/>
                <w:bCs/>
                <w:sz w:val="16"/>
                <w:szCs w:val="16"/>
                <w:lang w:val="cs-CZ"/>
              </w:rPr>
              <w:t>g</w:t>
            </w:r>
          </w:p>
        </w:tc>
        <w:tc>
          <w:tcPr>
            <w:tcW w:w="1480" w:type="dxa"/>
            <w:gridSpan w:val="2"/>
            <w:tcBorders>
              <w:bottom w:val="single" w:sz="4" w:space="0" w:color="auto"/>
            </w:tcBorders>
            <w:shd w:val="clear" w:color="auto" w:fill="D9D9D9" w:themeFill="background1" w:themeFillShade="D9"/>
            <w:vAlign w:val="center"/>
          </w:tcPr>
          <w:p w14:paraId="013E3EF6" w14:textId="77777777" w:rsidR="00170B66" w:rsidRPr="00CC03D5" w:rsidRDefault="00170B66" w:rsidP="00AF1716">
            <w:pPr>
              <w:pStyle w:val="TableParagraph"/>
              <w:jc w:val="center"/>
              <w:rPr>
                <w:rFonts w:ascii="Arial" w:eastAsia="Arial" w:hAnsi="Arial" w:cs="Arial"/>
                <w:sz w:val="16"/>
                <w:szCs w:val="16"/>
                <w:lang w:val="cs-CZ"/>
              </w:rPr>
            </w:pPr>
            <w:r w:rsidRPr="00CC03D5">
              <w:rPr>
                <w:rFonts w:ascii="Arial" w:eastAsia="Arial" w:hAnsi="Arial" w:cs="Arial"/>
                <w:b/>
                <w:bCs/>
                <w:spacing w:val="-1"/>
                <w:sz w:val="16"/>
                <w:szCs w:val="16"/>
                <w:lang w:val="cs-CZ"/>
              </w:rPr>
              <w:t>1</w:t>
            </w:r>
            <w:r w:rsidR="00A95C56">
              <w:rPr>
                <w:rFonts w:ascii="Arial" w:eastAsia="Arial" w:hAnsi="Arial" w:cs="Arial"/>
                <w:b/>
                <w:bCs/>
                <w:spacing w:val="-1"/>
                <w:sz w:val="16"/>
                <w:szCs w:val="16"/>
                <w:lang w:val="cs-CZ"/>
              </w:rPr>
              <w:t>0</w:t>
            </w:r>
          </w:p>
        </w:tc>
        <w:tc>
          <w:tcPr>
            <w:tcW w:w="1752" w:type="dxa"/>
            <w:tcBorders>
              <w:bottom w:val="single" w:sz="4" w:space="0" w:color="auto"/>
            </w:tcBorders>
            <w:shd w:val="clear" w:color="auto" w:fill="D9D9D9" w:themeFill="background1" w:themeFillShade="D9"/>
            <w:vAlign w:val="center"/>
          </w:tcPr>
          <w:p w14:paraId="4C02139F" w14:textId="77777777" w:rsidR="00170B66" w:rsidRPr="00CC03D5" w:rsidRDefault="00733615" w:rsidP="000A162D">
            <w:pPr>
              <w:pStyle w:val="TableParagraph"/>
              <w:jc w:val="center"/>
              <w:rPr>
                <w:rFonts w:ascii="Arial" w:eastAsia="Arial" w:hAnsi="Arial" w:cs="Arial"/>
                <w:sz w:val="16"/>
                <w:szCs w:val="16"/>
                <w:lang w:val="cs-CZ"/>
              </w:rPr>
            </w:pPr>
            <w:r w:rsidRPr="00CC03D5">
              <w:rPr>
                <w:rFonts w:ascii="Arial" w:eastAsia="Arial" w:hAnsi="Arial" w:cs="Arial"/>
                <w:sz w:val="16"/>
                <w:szCs w:val="16"/>
                <w:lang w:val="cs-CZ"/>
              </w:rPr>
              <w:t>norma EU o rybách</w:t>
            </w:r>
          </w:p>
        </w:tc>
        <w:tc>
          <w:tcPr>
            <w:tcW w:w="2694" w:type="dxa"/>
            <w:tcBorders>
              <w:bottom w:val="single" w:sz="4" w:space="0" w:color="auto"/>
            </w:tcBorders>
            <w:shd w:val="clear" w:color="auto" w:fill="D9D9D9" w:themeFill="background1" w:themeFillShade="D9"/>
            <w:vAlign w:val="center"/>
          </w:tcPr>
          <w:p w14:paraId="06B793B5" w14:textId="77777777" w:rsidR="00170B66" w:rsidRPr="00CC03D5" w:rsidRDefault="00170B66" w:rsidP="000A162D">
            <w:pPr>
              <w:pStyle w:val="TableParagraph"/>
              <w:jc w:val="center"/>
              <w:rPr>
                <w:rFonts w:ascii="Arial" w:eastAsia="Calibri" w:hAnsi="Arial" w:cs="Arial"/>
                <w:sz w:val="16"/>
                <w:szCs w:val="16"/>
                <w:lang w:val="cs-CZ"/>
              </w:rPr>
            </w:pPr>
            <w:r w:rsidRPr="00CC03D5">
              <w:rPr>
                <w:rFonts w:ascii="Arial" w:hAnsi="Arial" w:cs="Arial"/>
                <w:spacing w:val="-1"/>
                <w:sz w:val="16"/>
                <w:szCs w:val="16"/>
                <w:lang w:val="cs-CZ"/>
              </w:rPr>
              <w:t>FGG Elbe 2013 / IKSE 2014</w:t>
            </w:r>
          </w:p>
        </w:tc>
        <w:tc>
          <w:tcPr>
            <w:tcW w:w="1559" w:type="dxa"/>
            <w:gridSpan w:val="2"/>
            <w:tcBorders>
              <w:bottom w:val="single" w:sz="4" w:space="0" w:color="auto"/>
            </w:tcBorders>
            <w:shd w:val="clear" w:color="auto" w:fill="D9D9D9" w:themeFill="background1" w:themeFillShade="D9"/>
            <w:vAlign w:val="center"/>
          </w:tcPr>
          <w:p w14:paraId="4BAA36A2" w14:textId="77777777" w:rsidR="00170B66" w:rsidRPr="00CC03D5" w:rsidRDefault="00170B66" w:rsidP="00AF1716">
            <w:pPr>
              <w:pStyle w:val="TableParagraph"/>
              <w:jc w:val="center"/>
              <w:rPr>
                <w:rFonts w:ascii="Arial" w:eastAsia="Arial" w:hAnsi="Arial" w:cs="Arial"/>
                <w:spacing w:val="-1"/>
                <w:sz w:val="16"/>
                <w:szCs w:val="16"/>
                <w:lang w:val="cs-CZ"/>
              </w:rPr>
            </w:pPr>
            <w:r w:rsidRPr="00CC03D5">
              <w:rPr>
                <w:rFonts w:ascii="Arial" w:eastAsia="Arial" w:hAnsi="Arial" w:cs="Arial"/>
                <w:b/>
                <w:bCs/>
                <w:sz w:val="16"/>
                <w:szCs w:val="16"/>
                <w:lang w:val="cs-CZ"/>
              </w:rPr>
              <w:t>6</w:t>
            </w:r>
            <w:r w:rsidR="00A95C56">
              <w:rPr>
                <w:rFonts w:ascii="Arial" w:eastAsia="Arial" w:hAnsi="Arial" w:cs="Arial"/>
                <w:b/>
                <w:bCs/>
                <w:sz w:val="16"/>
                <w:szCs w:val="16"/>
                <w:lang w:val="cs-CZ"/>
              </w:rPr>
              <w:t>00</w:t>
            </w:r>
          </w:p>
        </w:tc>
        <w:tc>
          <w:tcPr>
            <w:tcW w:w="1559" w:type="dxa"/>
            <w:tcBorders>
              <w:bottom w:val="single" w:sz="4" w:space="0" w:color="auto"/>
            </w:tcBorders>
            <w:shd w:val="clear" w:color="auto" w:fill="D9D9D9" w:themeFill="background1" w:themeFillShade="D9"/>
            <w:vAlign w:val="center"/>
          </w:tcPr>
          <w:p w14:paraId="5BFEC150" w14:textId="77777777" w:rsidR="00170B66" w:rsidRPr="00CC03D5" w:rsidRDefault="00733615" w:rsidP="00733615">
            <w:pPr>
              <w:pStyle w:val="TableParagraph"/>
              <w:jc w:val="center"/>
              <w:rPr>
                <w:rFonts w:ascii="Arial" w:eastAsia="Arial" w:hAnsi="Arial" w:cs="Arial"/>
                <w:sz w:val="16"/>
                <w:szCs w:val="16"/>
                <w:lang w:val="cs-CZ"/>
              </w:rPr>
            </w:pPr>
            <w:r w:rsidRPr="00CC03D5">
              <w:rPr>
                <w:rFonts w:ascii="Arial" w:eastAsia="Arial" w:hAnsi="Arial" w:cs="Arial"/>
                <w:spacing w:val="-1"/>
                <w:sz w:val="16"/>
                <w:szCs w:val="16"/>
                <w:lang w:val="cs-CZ"/>
              </w:rPr>
              <w:t>d</w:t>
            </w:r>
            <w:r w:rsidR="00170B66" w:rsidRPr="00CC03D5">
              <w:rPr>
                <w:rFonts w:ascii="Arial" w:eastAsia="Arial" w:hAnsi="Arial" w:cs="Arial"/>
                <w:spacing w:val="-1"/>
                <w:sz w:val="16"/>
                <w:szCs w:val="16"/>
                <w:lang w:val="cs-CZ"/>
              </w:rPr>
              <w:t>e</w:t>
            </w:r>
            <w:r w:rsidRPr="00CC03D5">
              <w:rPr>
                <w:rFonts w:ascii="Arial" w:eastAsia="Arial" w:hAnsi="Arial" w:cs="Arial"/>
                <w:spacing w:val="-1"/>
                <w:sz w:val="16"/>
                <w:szCs w:val="16"/>
                <w:lang w:val="cs-CZ"/>
              </w:rPr>
              <w:t xml:space="preserve"> </w:t>
            </w:r>
            <w:proofErr w:type="spellStart"/>
            <w:proofErr w:type="gramStart"/>
            <w:r w:rsidR="00170B66" w:rsidRPr="00CC03D5">
              <w:rPr>
                <w:rFonts w:ascii="Arial" w:eastAsia="Arial" w:hAnsi="Arial" w:cs="Arial"/>
                <w:spacing w:val="-1"/>
                <w:sz w:val="16"/>
                <w:szCs w:val="16"/>
                <w:lang w:val="cs-CZ"/>
              </w:rPr>
              <w:t>De</w:t>
            </w:r>
            <w:r w:rsidR="00170B66" w:rsidRPr="00CC03D5">
              <w:rPr>
                <w:rFonts w:ascii="Arial" w:eastAsia="Arial" w:hAnsi="Arial" w:cs="Arial"/>
                <w:spacing w:val="1"/>
                <w:sz w:val="16"/>
                <w:szCs w:val="16"/>
                <w:lang w:val="cs-CZ"/>
              </w:rPr>
              <w:t>ck</w:t>
            </w:r>
            <w:r w:rsidR="00170B66" w:rsidRPr="00CC03D5">
              <w:rPr>
                <w:rFonts w:ascii="Arial" w:eastAsia="Arial" w:hAnsi="Arial" w:cs="Arial"/>
                <w:spacing w:val="-1"/>
                <w:sz w:val="16"/>
                <w:szCs w:val="16"/>
                <w:lang w:val="cs-CZ"/>
              </w:rPr>
              <w:t>er</w:t>
            </w:r>
            <w:r w:rsidR="00170B66" w:rsidRPr="00CC03D5">
              <w:rPr>
                <w:rFonts w:ascii="Arial" w:eastAsia="Arial" w:hAnsi="Arial" w:cs="Arial"/>
                <w:sz w:val="16"/>
                <w:szCs w:val="16"/>
                <w:lang w:val="cs-CZ"/>
              </w:rPr>
              <w:t>e</w:t>
            </w:r>
            <w:proofErr w:type="spellEnd"/>
            <w:proofErr w:type="gramEnd"/>
          </w:p>
        </w:tc>
        <w:tc>
          <w:tcPr>
            <w:tcW w:w="2552" w:type="dxa"/>
            <w:tcBorders>
              <w:bottom w:val="single" w:sz="4" w:space="0" w:color="auto"/>
            </w:tcBorders>
            <w:shd w:val="clear" w:color="auto" w:fill="D9D9D9" w:themeFill="background1" w:themeFillShade="D9"/>
            <w:vAlign w:val="center"/>
          </w:tcPr>
          <w:p w14:paraId="574AF972" w14:textId="77777777" w:rsidR="00170B66" w:rsidRPr="00CC03D5" w:rsidRDefault="00170B66" w:rsidP="000A162D">
            <w:pPr>
              <w:pStyle w:val="TableParagraph"/>
              <w:jc w:val="center"/>
              <w:rPr>
                <w:rFonts w:ascii="Arial" w:eastAsia="Calibri" w:hAnsi="Arial" w:cs="Arial"/>
                <w:sz w:val="16"/>
                <w:szCs w:val="16"/>
                <w:lang w:val="cs-CZ"/>
              </w:rPr>
            </w:pPr>
            <w:r w:rsidRPr="00CC03D5">
              <w:rPr>
                <w:rFonts w:ascii="Arial" w:hAnsi="Arial" w:cs="Arial"/>
                <w:spacing w:val="-1"/>
                <w:sz w:val="16"/>
                <w:szCs w:val="16"/>
                <w:lang w:val="cs-CZ"/>
              </w:rPr>
              <w:t>FGG Elbe 2013 / IKSE 2014</w:t>
            </w:r>
          </w:p>
        </w:tc>
      </w:tr>
      <w:tr w:rsidR="00170B66" w:rsidRPr="00CC03D5" w14:paraId="03B6DE45" w14:textId="77777777" w:rsidTr="00733615">
        <w:trPr>
          <w:cantSplit/>
        </w:trPr>
        <w:tc>
          <w:tcPr>
            <w:tcW w:w="0" w:type="auto"/>
            <w:tcBorders>
              <w:bottom w:val="single" w:sz="4" w:space="0" w:color="auto"/>
            </w:tcBorders>
            <w:vAlign w:val="center"/>
          </w:tcPr>
          <w:p w14:paraId="12733428" w14:textId="77777777" w:rsidR="00170B66" w:rsidRPr="00CC03D5" w:rsidRDefault="00170B66" w:rsidP="000A162D">
            <w:pPr>
              <w:pStyle w:val="TableParagraph"/>
              <w:jc w:val="center"/>
              <w:rPr>
                <w:rFonts w:ascii="Arial" w:eastAsia="Arial" w:hAnsi="Arial" w:cs="Arial"/>
                <w:sz w:val="16"/>
                <w:szCs w:val="16"/>
                <w:lang w:val="cs-CZ"/>
              </w:rPr>
            </w:pPr>
            <w:r w:rsidRPr="00CC03D5">
              <w:rPr>
                <w:rFonts w:ascii="Arial" w:eastAsia="Arial" w:hAnsi="Arial" w:cs="Arial"/>
                <w:b/>
                <w:bCs/>
                <w:spacing w:val="-1"/>
                <w:sz w:val="16"/>
                <w:szCs w:val="16"/>
                <w:lang w:val="cs-CZ"/>
              </w:rPr>
              <w:t>25</w:t>
            </w:r>
          </w:p>
        </w:tc>
        <w:tc>
          <w:tcPr>
            <w:tcW w:w="1168" w:type="dxa"/>
            <w:tcBorders>
              <w:bottom w:val="single" w:sz="4" w:space="0" w:color="auto"/>
            </w:tcBorders>
            <w:vAlign w:val="center"/>
          </w:tcPr>
          <w:p w14:paraId="68A4A630" w14:textId="77777777" w:rsidR="00170B66" w:rsidRPr="00CC03D5" w:rsidRDefault="00170B66" w:rsidP="000A162D">
            <w:pPr>
              <w:pStyle w:val="TableParagraph"/>
              <w:rPr>
                <w:rFonts w:ascii="Arial" w:eastAsia="Arial" w:hAnsi="Arial" w:cs="Arial"/>
                <w:sz w:val="16"/>
                <w:szCs w:val="16"/>
                <w:lang w:val="cs-CZ"/>
              </w:rPr>
            </w:pPr>
            <w:r w:rsidRPr="00CC03D5">
              <w:rPr>
                <w:rFonts w:ascii="Arial" w:eastAsia="Arial" w:hAnsi="Arial" w:cs="Arial"/>
                <w:b/>
                <w:bCs/>
                <w:spacing w:val="-6"/>
                <w:sz w:val="16"/>
                <w:szCs w:val="16"/>
                <w:lang w:val="cs-CZ"/>
              </w:rPr>
              <w:t>A</w:t>
            </w:r>
            <w:r w:rsidRPr="00CC03D5">
              <w:rPr>
                <w:rFonts w:ascii="Arial" w:eastAsia="Arial" w:hAnsi="Arial" w:cs="Arial"/>
                <w:b/>
                <w:bCs/>
                <w:spacing w:val="2"/>
                <w:sz w:val="16"/>
                <w:szCs w:val="16"/>
                <w:lang w:val="cs-CZ"/>
              </w:rPr>
              <w:t>n</w:t>
            </w:r>
            <w:r w:rsidRPr="00CC03D5">
              <w:rPr>
                <w:rFonts w:ascii="Arial" w:eastAsia="Arial" w:hAnsi="Arial" w:cs="Arial"/>
                <w:b/>
                <w:bCs/>
                <w:spacing w:val="-1"/>
                <w:sz w:val="16"/>
                <w:szCs w:val="16"/>
                <w:lang w:val="cs-CZ"/>
              </w:rPr>
              <w:t>t</w:t>
            </w:r>
            <w:r w:rsidRPr="00CC03D5">
              <w:rPr>
                <w:rFonts w:ascii="Arial" w:eastAsia="Arial" w:hAnsi="Arial" w:cs="Arial"/>
                <w:b/>
                <w:bCs/>
                <w:sz w:val="16"/>
                <w:szCs w:val="16"/>
                <w:lang w:val="cs-CZ"/>
              </w:rPr>
              <w:t>h</w:t>
            </w:r>
            <w:r w:rsidRPr="00CC03D5">
              <w:rPr>
                <w:rFonts w:ascii="Arial" w:eastAsia="Arial" w:hAnsi="Arial" w:cs="Arial"/>
                <w:b/>
                <w:bCs/>
                <w:spacing w:val="-1"/>
                <w:sz w:val="16"/>
                <w:szCs w:val="16"/>
                <w:lang w:val="cs-CZ"/>
              </w:rPr>
              <w:t>racen</w:t>
            </w:r>
          </w:p>
        </w:tc>
        <w:tc>
          <w:tcPr>
            <w:tcW w:w="828" w:type="dxa"/>
            <w:tcBorders>
              <w:bottom w:val="single" w:sz="4" w:space="0" w:color="auto"/>
            </w:tcBorders>
            <w:vAlign w:val="center"/>
          </w:tcPr>
          <w:p w14:paraId="0F888078" w14:textId="77777777" w:rsidR="00170B66" w:rsidRPr="00CC03D5" w:rsidRDefault="00A95C56" w:rsidP="000A162D">
            <w:pPr>
              <w:pStyle w:val="TableParagraph"/>
              <w:jc w:val="center"/>
              <w:rPr>
                <w:rFonts w:ascii="Arial" w:eastAsia="Arial" w:hAnsi="Arial" w:cs="Arial"/>
                <w:sz w:val="16"/>
                <w:szCs w:val="16"/>
                <w:lang w:val="cs-CZ"/>
              </w:rPr>
            </w:pPr>
            <w:proofErr w:type="spellStart"/>
            <w:r>
              <w:rPr>
                <w:rFonts w:ascii="Arial" w:eastAsia="Arial" w:hAnsi="Arial" w:cs="Arial"/>
                <w:b/>
                <w:bCs/>
                <w:sz w:val="16"/>
                <w:szCs w:val="16"/>
                <w:lang w:val="cs-CZ"/>
              </w:rPr>
              <w:t>μ</w:t>
            </w:r>
            <w:r w:rsidR="00170B66" w:rsidRPr="00CC03D5">
              <w:rPr>
                <w:rFonts w:ascii="Arial" w:eastAsia="Arial" w:hAnsi="Arial" w:cs="Arial"/>
                <w:b/>
                <w:bCs/>
                <w:sz w:val="16"/>
                <w:szCs w:val="16"/>
                <w:lang w:val="cs-CZ"/>
              </w:rPr>
              <w:t>g</w:t>
            </w:r>
            <w:proofErr w:type="spellEnd"/>
            <w:r w:rsidR="00170B66" w:rsidRPr="00CC03D5">
              <w:rPr>
                <w:rFonts w:ascii="Arial" w:eastAsia="Arial" w:hAnsi="Arial" w:cs="Arial"/>
                <w:b/>
                <w:bCs/>
                <w:sz w:val="16"/>
                <w:szCs w:val="16"/>
                <w:lang w:val="cs-CZ"/>
              </w:rPr>
              <w:t>/</w:t>
            </w:r>
            <w:r w:rsidR="00170B66" w:rsidRPr="00CC03D5">
              <w:rPr>
                <w:rFonts w:ascii="Arial" w:eastAsia="Arial" w:hAnsi="Arial" w:cs="Arial"/>
                <w:b/>
                <w:bCs/>
                <w:spacing w:val="-3"/>
                <w:sz w:val="16"/>
                <w:szCs w:val="16"/>
                <w:lang w:val="cs-CZ"/>
              </w:rPr>
              <w:t>k</w:t>
            </w:r>
            <w:r w:rsidR="00170B66" w:rsidRPr="00CC03D5">
              <w:rPr>
                <w:rFonts w:ascii="Arial" w:eastAsia="Arial" w:hAnsi="Arial" w:cs="Arial"/>
                <w:b/>
                <w:bCs/>
                <w:sz w:val="16"/>
                <w:szCs w:val="16"/>
                <w:lang w:val="cs-CZ"/>
              </w:rPr>
              <w:t>g</w:t>
            </w:r>
          </w:p>
        </w:tc>
        <w:tc>
          <w:tcPr>
            <w:tcW w:w="1480" w:type="dxa"/>
            <w:gridSpan w:val="2"/>
            <w:tcBorders>
              <w:bottom w:val="single" w:sz="4" w:space="0" w:color="auto"/>
            </w:tcBorders>
            <w:shd w:val="clear" w:color="auto" w:fill="CAFBA5"/>
            <w:vAlign w:val="center"/>
          </w:tcPr>
          <w:p w14:paraId="02B526D5" w14:textId="77777777" w:rsidR="00170B66" w:rsidRPr="00CC03D5" w:rsidRDefault="00170B66" w:rsidP="00AF1716">
            <w:pPr>
              <w:pStyle w:val="TableParagraph"/>
              <w:jc w:val="center"/>
              <w:rPr>
                <w:rFonts w:ascii="Arial" w:eastAsia="Arial" w:hAnsi="Arial" w:cs="Arial"/>
                <w:spacing w:val="-1"/>
                <w:sz w:val="16"/>
                <w:szCs w:val="16"/>
                <w:lang w:val="cs-CZ"/>
              </w:rPr>
            </w:pPr>
            <w:r w:rsidRPr="00CC03D5">
              <w:rPr>
                <w:rFonts w:ascii="Arial" w:eastAsia="Arial" w:hAnsi="Arial" w:cs="Arial"/>
                <w:b/>
                <w:bCs/>
                <w:spacing w:val="-1"/>
                <w:sz w:val="16"/>
                <w:szCs w:val="16"/>
                <w:lang w:val="cs-CZ"/>
              </w:rPr>
              <w:t>3</w:t>
            </w:r>
            <w:r w:rsidR="00A95C56">
              <w:rPr>
                <w:rFonts w:ascii="Arial" w:eastAsia="Arial" w:hAnsi="Arial" w:cs="Arial"/>
                <w:b/>
                <w:bCs/>
                <w:spacing w:val="-1"/>
                <w:sz w:val="16"/>
                <w:szCs w:val="16"/>
                <w:lang w:val="cs-CZ"/>
              </w:rPr>
              <w:t>0</w:t>
            </w:r>
          </w:p>
        </w:tc>
        <w:tc>
          <w:tcPr>
            <w:tcW w:w="1752" w:type="dxa"/>
            <w:tcBorders>
              <w:bottom w:val="single" w:sz="4" w:space="0" w:color="auto"/>
            </w:tcBorders>
            <w:shd w:val="clear" w:color="auto" w:fill="CAFBA5"/>
            <w:vAlign w:val="center"/>
          </w:tcPr>
          <w:p w14:paraId="7A9F656F" w14:textId="77777777" w:rsidR="00170B66" w:rsidRPr="00CC03D5" w:rsidRDefault="00170B66" w:rsidP="000A162D">
            <w:pPr>
              <w:pStyle w:val="TableParagraph"/>
              <w:jc w:val="center"/>
              <w:rPr>
                <w:rFonts w:ascii="Arial" w:eastAsia="Arial" w:hAnsi="Arial" w:cs="Arial"/>
                <w:sz w:val="16"/>
                <w:szCs w:val="16"/>
                <w:lang w:val="cs-CZ"/>
              </w:rPr>
            </w:pPr>
            <w:r w:rsidRPr="00CC03D5">
              <w:rPr>
                <w:rFonts w:ascii="Arial" w:eastAsia="Arial" w:hAnsi="Arial" w:cs="Arial"/>
                <w:spacing w:val="-1"/>
                <w:sz w:val="16"/>
                <w:szCs w:val="16"/>
                <w:lang w:val="cs-CZ"/>
              </w:rPr>
              <w:t>d</w:t>
            </w:r>
            <w:r w:rsidRPr="00CC03D5">
              <w:rPr>
                <w:rFonts w:ascii="Arial" w:eastAsia="Arial" w:hAnsi="Arial" w:cs="Arial"/>
                <w:sz w:val="16"/>
                <w:szCs w:val="16"/>
                <w:lang w:val="cs-CZ"/>
              </w:rPr>
              <w:t xml:space="preserve">e </w:t>
            </w:r>
            <w:proofErr w:type="spellStart"/>
            <w:proofErr w:type="gramStart"/>
            <w:r w:rsidRPr="00CC03D5">
              <w:rPr>
                <w:rFonts w:ascii="Arial" w:eastAsia="Arial" w:hAnsi="Arial" w:cs="Arial"/>
                <w:spacing w:val="-1"/>
                <w:sz w:val="16"/>
                <w:szCs w:val="16"/>
                <w:lang w:val="cs-CZ"/>
              </w:rPr>
              <w:t>De</w:t>
            </w:r>
            <w:r w:rsidRPr="00CC03D5">
              <w:rPr>
                <w:rFonts w:ascii="Arial" w:eastAsia="Arial" w:hAnsi="Arial" w:cs="Arial"/>
                <w:spacing w:val="1"/>
                <w:sz w:val="16"/>
                <w:szCs w:val="16"/>
                <w:lang w:val="cs-CZ"/>
              </w:rPr>
              <w:t>ck</w:t>
            </w:r>
            <w:r w:rsidRPr="00CC03D5">
              <w:rPr>
                <w:rFonts w:ascii="Arial" w:eastAsia="Arial" w:hAnsi="Arial" w:cs="Arial"/>
                <w:spacing w:val="-1"/>
                <w:sz w:val="16"/>
                <w:szCs w:val="16"/>
                <w:lang w:val="cs-CZ"/>
              </w:rPr>
              <w:t>er</w:t>
            </w:r>
            <w:r w:rsidRPr="00CC03D5">
              <w:rPr>
                <w:rFonts w:ascii="Arial" w:eastAsia="Arial" w:hAnsi="Arial" w:cs="Arial"/>
                <w:sz w:val="16"/>
                <w:szCs w:val="16"/>
                <w:lang w:val="cs-CZ"/>
              </w:rPr>
              <w:t>e</w:t>
            </w:r>
            <w:proofErr w:type="spellEnd"/>
            <w:proofErr w:type="gramEnd"/>
          </w:p>
        </w:tc>
        <w:tc>
          <w:tcPr>
            <w:tcW w:w="2694" w:type="dxa"/>
            <w:tcBorders>
              <w:bottom w:val="single" w:sz="4" w:space="0" w:color="auto"/>
            </w:tcBorders>
            <w:shd w:val="clear" w:color="auto" w:fill="CAFBA5"/>
            <w:vAlign w:val="center"/>
          </w:tcPr>
          <w:p w14:paraId="50034C09" w14:textId="77777777" w:rsidR="00170B66" w:rsidRPr="00CC03D5" w:rsidRDefault="00170B66" w:rsidP="000A162D">
            <w:pPr>
              <w:pStyle w:val="TableParagraph"/>
              <w:jc w:val="center"/>
              <w:rPr>
                <w:rFonts w:ascii="Arial" w:eastAsia="Calibri" w:hAnsi="Arial" w:cs="Arial"/>
                <w:sz w:val="16"/>
                <w:szCs w:val="16"/>
                <w:lang w:val="cs-CZ"/>
              </w:rPr>
            </w:pPr>
            <w:r w:rsidRPr="00CC03D5">
              <w:rPr>
                <w:rFonts w:ascii="Arial" w:hAnsi="Arial" w:cs="Arial"/>
                <w:spacing w:val="-1"/>
                <w:sz w:val="16"/>
                <w:szCs w:val="16"/>
                <w:lang w:val="cs-CZ"/>
              </w:rPr>
              <w:t>FGG Elbe 2013 / IKSE 2014</w:t>
            </w:r>
          </w:p>
        </w:tc>
        <w:tc>
          <w:tcPr>
            <w:tcW w:w="1559" w:type="dxa"/>
            <w:gridSpan w:val="2"/>
            <w:tcBorders>
              <w:bottom w:val="single" w:sz="4" w:space="0" w:color="auto"/>
            </w:tcBorders>
            <w:shd w:val="clear" w:color="auto" w:fill="F7CAAC" w:themeFill="accent2" w:themeFillTint="66"/>
            <w:vAlign w:val="center"/>
          </w:tcPr>
          <w:p w14:paraId="2988D7A7" w14:textId="77777777" w:rsidR="00170B66" w:rsidRPr="00CC03D5" w:rsidRDefault="00170B66" w:rsidP="00AF1716">
            <w:pPr>
              <w:pStyle w:val="TableParagraph"/>
              <w:jc w:val="center"/>
              <w:rPr>
                <w:rFonts w:ascii="Arial" w:eastAsia="Arial" w:hAnsi="Arial" w:cs="Arial"/>
                <w:spacing w:val="-1"/>
                <w:sz w:val="16"/>
                <w:szCs w:val="16"/>
                <w:lang w:val="cs-CZ"/>
              </w:rPr>
            </w:pPr>
            <w:r w:rsidRPr="00CC03D5">
              <w:rPr>
                <w:rFonts w:ascii="Arial" w:eastAsia="Arial" w:hAnsi="Arial" w:cs="Arial"/>
                <w:b/>
                <w:bCs/>
                <w:spacing w:val="-1"/>
                <w:sz w:val="16"/>
                <w:szCs w:val="16"/>
                <w:lang w:val="cs-CZ"/>
              </w:rPr>
              <w:t>31</w:t>
            </w:r>
            <w:r w:rsidR="00A95C56">
              <w:rPr>
                <w:rFonts w:ascii="Arial" w:eastAsia="Arial" w:hAnsi="Arial" w:cs="Arial"/>
                <w:b/>
                <w:bCs/>
                <w:spacing w:val="-1"/>
                <w:sz w:val="16"/>
                <w:szCs w:val="16"/>
                <w:lang w:val="cs-CZ"/>
              </w:rPr>
              <w:t>0</w:t>
            </w:r>
          </w:p>
        </w:tc>
        <w:tc>
          <w:tcPr>
            <w:tcW w:w="1559" w:type="dxa"/>
            <w:tcBorders>
              <w:bottom w:val="single" w:sz="4" w:space="0" w:color="auto"/>
            </w:tcBorders>
            <w:shd w:val="clear" w:color="auto" w:fill="F7CAAC" w:themeFill="accent2" w:themeFillTint="66"/>
            <w:vAlign w:val="center"/>
          </w:tcPr>
          <w:p w14:paraId="01C5E81B" w14:textId="77777777" w:rsidR="00170B66" w:rsidRPr="00CC03D5" w:rsidRDefault="00170B66" w:rsidP="000A162D">
            <w:pPr>
              <w:pStyle w:val="TableParagraph"/>
              <w:jc w:val="center"/>
              <w:rPr>
                <w:rFonts w:ascii="Arial" w:eastAsia="Arial" w:hAnsi="Arial" w:cs="Arial"/>
                <w:sz w:val="16"/>
                <w:szCs w:val="16"/>
                <w:lang w:val="cs-CZ"/>
              </w:rPr>
            </w:pPr>
            <w:r w:rsidRPr="00CC03D5">
              <w:rPr>
                <w:rFonts w:ascii="Arial" w:eastAsia="Arial" w:hAnsi="Arial" w:cs="Arial"/>
                <w:spacing w:val="-1"/>
                <w:sz w:val="16"/>
                <w:szCs w:val="16"/>
                <w:lang w:val="cs-CZ"/>
              </w:rPr>
              <w:t>23</w:t>
            </w:r>
            <w:r w:rsidRPr="00CC03D5">
              <w:rPr>
                <w:rFonts w:ascii="Arial" w:eastAsia="Arial" w:hAnsi="Arial" w:cs="Arial"/>
                <w:sz w:val="16"/>
                <w:szCs w:val="16"/>
                <w:lang w:val="cs-CZ"/>
              </w:rPr>
              <w:t>/</w:t>
            </w:r>
            <w:r w:rsidRPr="00CC03D5">
              <w:rPr>
                <w:rFonts w:ascii="Arial" w:eastAsia="Arial" w:hAnsi="Arial" w:cs="Arial"/>
                <w:spacing w:val="-1"/>
                <w:sz w:val="16"/>
                <w:szCs w:val="16"/>
                <w:lang w:val="cs-CZ"/>
              </w:rPr>
              <w:t>201</w:t>
            </w:r>
            <w:r w:rsidRPr="00CC03D5">
              <w:rPr>
                <w:rFonts w:ascii="Arial" w:eastAsia="Arial" w:hAnsi="Arial" w:cs="Arial"/>
                <w:sz w:val="16"/>
                <w:szCs w:val="16"/>
                <w:lang w:val="cs-CZ"/>
              </w:rPr>
              <w:t>1 S</w:t>
            </w:r>
            <w:r w:rsidRPr="00CC03D5">
              <w:rPr>
                <w:rFonts w:ascii="Arial" w:eastAsia="Arial" w:hAnsi="Arial" w:cs="Arial"/>
                <w:spacing w:val="-1"/>
                <w:sz w:val="16"/>
                <w:szCs w:val="16"/>
                <w:lang w:val="cs-CZ"/>
              </w:rPr>
              <w:t>b.</w:t>
            </w:r>
          </w:p>
        </w:tc>
        <w:tc>
          <w:tcPr>
            <w:tcW w:w="2552" w:type="dxa"/>
            <w:tcBorders>
              <w:bottom w:val="single" w:sz="4" w:space="0" w:color="auto"/>
            </w:tcBorders>
            <w:shd w:val="clear" w:color="auto" w:fill="F7CAAC" w:themeFill="accent2" w:themeFillTint="66"/>
            <w:vAlign w:val="center"/>
          </w:tcPr>
          <w:p w14:paraId="2065FD65" w14:textId="77777777" w:rsidR="00170B66" w:rsidRPr="00CC03D5" w:rsidRDefault="00170B66" w:rsidP="000A162D">
            <w:pPr>
              <w:pStyle w:val="TableParagraph"/>
              <w:jc w:val="center"/>
              <w:rPr>
                <w:rFonts w:ascii="Arial" w:eastAsia="Calibri" w:hAnsi="Arial" w:cs="Arial"/>
                <w:sz w:val="16"/>
                <w:szCs w:val="16"/>
                <w:lang w:val="cs-CZ"/>
              </w:rPr>
            </w:pPr>
            <w:r w:rsidRPr="00CC03D5">
              <w:rPr>
                <w:rFonts w:ascii="Arial" w:hAnsi="Arial" w:cs="Arial"/>
                <w:spacing w:val="-1"/>
                <w:sz w:val="16"/>
                <w:szCs w:val="16"/>
                <w:lang w:val="cs-CZ"/>
              </w:rPr>
              <w:t>FGG Elbe 2013 / IKSE 2014</w:t>
            </w:r>
          </w:p>
        </w:tc>
      </w:tr>
      <w:tr w:rsidR="00170B66" w:rsidRPr="00CC03D5" w14:paraId="5EE99EF6" w14:textId="77777777" w:rsidTr="00733615">
        <w:trPr>
          <w:cantSplit/>
        </w:trPr>
        <w:tc>
          <w:tcPr>
            <w:tcW w:w="0" w:type="auto"/>
            <w:shd w:val="clear" w:color="auto" w:fill="D9D9D9" w:themeFill="background1" w:themeFillShade="D9"/>
            <w:vAlign w:val="center"/>
          </w:tcPr>
          <w:p w14:paraId="1979A7A1" w14:textId="77777777" w:rsidR="00170B66" w:rsidRPr="00CC03D5" w:rsidRDefault="00170B66" w:rsidP="000A162D">
            <w:pPr>
              <w:pStyle w:val="TableParagraph"/>
              <w:jc w:val="center"/>
              <w:rPr>
                <w:rFonts w:ascii="Arial" w:eastAsia="Arial" w:hAnsi="Arial" w:cs="Arial"/>
                <w:sz w:val="16"/>
                <w:szCs w:val="16"/>
                <w:lang w:val="cs-CZ"/>
              </w:rPr>
            </w:pPr>
            <w:r w:rsidRPr="00CC03D5">
              <w:rPr>
                <w:rFonts w:ascii="Arial" w:eastAsia="Arial" w:hAnsi="Arial" w:cs="Arial"/>
                <w:b/>
                <w:bCs/>
                <w:spacing w:val="-1"/>
                <w:sz w:val="16"/>
                <w:szCs w:val="16"/>
                <w:lang w:val="cs-CZ"/>
              </w:rPr>
              <w:t>26</w:t>
            </w:r>
          </w:p>
        </w:tc>
        <w:tc>
          <w:tcPr>
            <w:tcW w:w="1168" w:type="dxa"/>
            <w:shd w:val="clear" w:color="auto" w:fill="D9D9D9" w:themeFill="background1" w:themeFillShade="D9"/>
            <w:vAlign w:val="center"/>
          </w:tcPr>
          <w:p w14:paraId="6B20858E" w14:textId="77777777" w:rsidR="00170B66" w:rsidRPr="00CC03D5" w:rsidRDefault="00170B66" w:rsidP="000A162D">
            <w:pPr>
              <w:pStyle w:val="TableParagraph"/>
              <w:rPr>
                <w:rFonts w:ascii="Arial" w:eastAsia="Arial" w:hAnsi="Arial" w:cs="Arial"/>
                <w:sz w:val="16"/>
                <w:szCs w:val="16"/>
                <w:lang w:val="cs-CZ"/>
              </w:rPr>
            </w:pPr>
            <w:proofErr w:type="spellStart"/>
            <w:r w:rsidRPr="00CC03D5">
              <w:rPr>
                <w:rFonts w:ascii="Arial" w:eastAsia="Arial" w:hAnsi="Arial" w:cs="Arial"/>
                <w:b/>
                <w:bCs/>
                <w:sz w:val="16"/>
                <w:szCs w:val="16"/>
                <w:lang w:val="cs-CZ"/>
              </w:rPr>
              <w:t>Fluo</w:t>
            </w:r>
            <w:r w:rsidRPr="00CC03D5">
              <w:rPr>
                <w:rFonts w:ascii="Arial" w:eastAsia="Arial" w:hAnsi="Arial" w:cs="Arial"/>
                <w:b/>
                <w:bCs/>
                <w:spacing w:val="-1"/>
                <w:sz w:val="16"/>
                <w:szCs w:val="16"/>
                <w:lang w:val="cs-CZ"/>
              </w:rPr>
              <w:t>r</w:t>
            </w:r>
            <w:r w:rsidRPr="00CC03D5">
              <w:rPr>
                <w:rFonts w:ascii="Arial" w:eastAsia="Arial" w:hAnsi="Arial" w:cs="Arial"/>
                <w:b/>
                <w:bCs/>
                <w:spacing w:val="-3"/>
                <w:sz w:val="16"/>
                <w:szCs w:val="16"/>
                <w:lang w:val="cs-CZ"/>
              </w:rPr>
              <w:t>a</w:t>
            </w:r>
            <w:r w:rsidRPr="00CC03D5">
              <w:rPr>
                <w:rFonts w:ascii="Arial" w:eastAsia="Arial" w:hAnsi="Arial" w:cs="Arial"/>
                <w:b/>
                <w:bCs/>
                <w:sz w:val="16"/>
                <w:szCs w:val="16"/>
                <w:lang w:val="cs-CZ"/>
              </w:rPr>
              <w:t>n</w:t>
            </w:r>
            <w:r w:rsidRPr="00CC03D5">
              <w:rPr>
                <w:rFonts w:ascii="Arial" w:eastAsia="Arial" w:hAnsi="Arial" w:cs="Arial"/>
                <w:b/>
                <w:bCs/>
                <w:spacing w:val="-1"/>
                <w:sz w:val="16"/>
                <w:szCs w:val="16"/>
                <w:lang w:val="cs-CZ"/>
              </w:rPr>
              <w:t>t</w:t>
            </w:r>
            <w:r w:rsidRPr="00CC03D5">
              <w:rPr>
                <w:rFonts w:ascii="Arial" w:eastAsia="Arial" w:hAnsi="Arial" w:cs="Arial"/>
                <w:b/>
                <w:bCs/>
                <w:sz w:val="16"/>
                <w:szCs w:val="16"/>
                <w:lang w:val="cs-CZ"/>
              </w:rPr>
              <w:t>h</w:t>
            </w:r>
            <w:r w:rsidRPr="00CC03D5">
              <w:rPr>
                <w:rFonts w:ascii="Arial" w:eastAsia="Arial" w:hAnsi="Arial" w:cs="Arial"/>
                <w:b/>
                <w:bCs/>
                <w:spacing w:val="-1"/>
                <w:sz w:val="16"/>
                <w:szCs w:val="16"/>
                <w:lang w:val="cs-CZ"/>
              </w:rPr>
              <w:t>e</w:t>
            </w:r>
            <w:r w:rsidRPr="00CC03D5">
              <w:rPr>
                <w:rFonts w:ascii="Arial" w:eastAsia="Arial" w:hAnsi="Arial" w:cs="Arial"/>
                <w:b/>
                <w:bCs/>
                <w:sz w:val="16"/>
                <w:szCs w:val="16"/>
                <w:lang w:val="cs-CZ"/>
              </w:rPr>
              <w:t>n</w:t>
            </w:r>
            <w:proofErr w:type="spellEnd"/>
          </w:p>
        </w:tc>
        <w:tc>
          <w:tcPr>
            <w:tcW w:w="828" w:type="dxa"/>
            <w:shd w:val="clear" w:color="auto" w:fill="D9D9D9" w:themeFill="background1" w:themeFillShade="D9"/>
            <w:vAlign w:val="center"/>
          </w:tcPr>
          <w:p w14:paraId="59B09005" w14:textId="77777777" w:rsidR="00170B66" w:rsidRPr="00CC03D5" w:rsidRDefault="00A95C56" w:rsidP="000A162D">
            <w:pPr>
              <w:pStyle w:val="TableParagraph"/>
              <w:jc w:val="center"/>
              <w:rPr>
                <w:rFonts w:ascii="Arial" w:eastAsia="Arial" w:hAnsi="Arial" w:cs="Arial"/>
                <w:sz w:val="16"/>
                <w:szCs w:val="16"/>
                <w:lang w:val="cs-CZ"/>
              </w:rPr>
            </w:pPr>
            <w:proofErr w:type="spellStart"/>
            <w:r>
              <w:rPr>
                <w:rFonts w:ascii="Arial" w:eastAsia="Arial" w:hAnsi="Arial" w:cs="Arial"/>
                <w:b/>
                <w:bCs/>
                <w:sz w:val="16"/>
                <w:szCs w:val="16"/>
                <w:lang w:val="cs-CZ"/>
              </w:rPr>
              <w:t>μ</w:t>
            </w:r>
            <w:r w:rsidR="00170B66" w:rsidRPr="00CC03D5">
              <w:rPr>
                <w:rFonts w:ascii="Arial" w:eastAsia="Arial" w:hAnsi="Arial" w:cs="Arial"/>
                <w:b/>
                <w:bCs/>
                <w:sz w:val="16"/>
                <w:szCs w:val="16"/>
                <w:lang w:val="cs-CZ"/>
              </w:rPr>
              <w:t>g</w:t>
            </w:r>
            <w:proofErr w:type="spellEnd"/>
            <w:r w:rsidR="00170B66" w:rsidRPr="00CC03D5">
              <w:rPr>
                <w:rFonts w:ascii="Arial" w:eastAsia="Arial" w:hAnsi="Arial" w:cs="Arial"/>
                <w:b/>
                <w:bCs/>
                <w:sz w:val="16"/>
                <w:szCs w:val="16"/>
                <w:lang w:val="cs-CZ"/>
              </w:rPr>
              <w:t>/</w:t>
            </w:r>
            <w:r w:rsidR="00170B66" w:rsidRPr="00CC03D5">
              <w:rPr>
                <w:rFonts w:ascii="Arial" w:eastAsia="Arial" w:hAnsi="Arial" w:cs="Arial"/>
                <w:b/>
                <w:bCs/>
                <w:spacing w:val="-3"/>
                <w:sz w:val="16"/>
                <w:szCs w:val="16"/>
                <w:lang w:val="cs-CZ"/>
              </w:rPr>
              <w:t>k</w:t>
            </w:r>
            <w:r w:rsidR="00170B66" w:rsidRPr="00CC03D5">
              <w:rPr>
                <w:rFonts w:ascii="Arial" w:eastAsia="Arial" w:hAnsi="Arial" w:cs="Arial"/>
                <w:b/>
                <w:bCs/>
                <w:sz w:val="16"/>
                <w:szCs w:val="16"/>
                <w:lang w:val="cs-CZ"/>
              </w:rPr>
              <w:t>g</w:t>
            </w:r>
          </w:p>
        </w:tc>
        <w:tc>
          <w:tcPr>
            <w:tcW w:w="1480" w:type="dxa"/>
            <w:gridSpan w:val="2"/>
            <w:tcBorders>
              <w:bottom w:val="single" w:sz="4" w:space="0" w:color="auto"/>
            </w:tcBorders>
            <w:shd w:val="clear" w:color="auto" w:fill="D9D9D9" w:themeFill="background1" w:themeFillShade="D9"/>
            <w:vAlign w:val="center"/>
          </w:tcPr>
          <w:p w14:paraId="6591FE55" w14:textId="77777777" w:rsidR="00170B66" w:rsidRPr="00CC03D5" w:rsidRDefault="00170B66" w:rsidP="00AF1716">
            <w:pPr>
              <w:pStyle w:val="TableParagraph"/>
              <w:jc w:val="center"/>
              <w:rPr>
                <w:rFonts w:ascii="Arial" w:eastAsia="Arial" w:hAnsi="Arial" w:cs="Arial"/>
                <w:spacing w:val="-1"/>
                <w:sz w:val="16"/>
                <w:szCs w:val="16"/>
                <w:lang w:val="cs-CZ"/>
              </w:rPr>
            </w:pPr>
            <w:r w:rsidRPr="00CC03D5">
              <w:rPr>
                <w:rFonts w:ascii="Arial" w:eastAsia="Arial" w:hAnsi="Arial" w:cs="Arial"/>
                <w:b/>
                <w:bCs/>
                <w:spacing w:val="-1"/>
                <w:sz w:val="16"/>
                <w:szCs w:val="16"/>
                <w:lang w:val="cs-CZ"/>
              </w:rPr>
              <w:t>18</w:t>
            </w:r>
            <w:r w:rsidR="00A95C56">
              <w:rPr>
                <w:rFonts w:ascii="Arial" w:eastAsia="Arial" w:hAnsi="Arial" w:cs="Arial"/>
                <w:b/>
                <w:bCs/>
                <w:spacing w:val="-1"/>
                <w:sz w:val="16"/>
                <w:szCs w:val="16"/>
                <w:lang w:val="cs-CZ"/>
              </w:rPr>
              <w:t>0</w:t>
            </w:r>
          </w:p>
        </w:tc>
        <w:tc>
          <w:tcPr>
            <w:tcW w:w="1752" w:type="dxa"/>
            <w:tcBorders>
              <w:bottom w:val="single" w:sz="4" w:space="0" w:color="auto"/>
            </w:tcBorders>
            <w:shd w:val="clear" w:color="auto" w:fill="D9D9D9" w:themeFill="background1" w:themeFillShade="D9"/>
            <w:vAlign w:val="center"/>
          </w:tcPr>
          <w:p w14:paraId="2CD70003" w14:textId="77777777" w:rsidR="00170B66" w:rsidRPr="00CC03D5" w:rsidRDefault="00170B66" w:rsidP="000A162D">
            <w:pPr>
              <w:pStyle w:val="TableParagraph"/>
              <w:jc w:val="center"/>
              <w:rPr>
                <w:rFonts w:ascii="Arial" w:eastAsia="Arial" w:hAnsi="Arial" w:cs="Arial"/>
                <w:sz w:val="16"/>
                <w:szCs w:val="16"/>
                <w:lang w:val="cs-CZ"/>
              </w:rPr>
            </w:pPr>
            <w:r w:rsidRPr="00CC03D5">
              <w:rPr>
                <w:rFonts w:ascii="Arial" w:eastAsia="Arial" w:hAnsi="Arial" w:cs="Arial"/>
                <w:spacing w:val="-1"/>
                <w:sz w:val="16"/>
                <w:szCs w:val="16"/>
                <w:lang w:val="cs-CZ"/>
              </w:rPr>
              <w:t>23</w:t>
            </w:r>
            <w:r w:rsidRPr="00CC03D5">
              <w:rPr>
                <w:rFonts w:ascii="Arial" w:eastAsia="Arial" w:hAnsi="Arial" w:cs="Arial"/>
                <w:sz w:val="16"/>
                <w:szCs w:val="16"/>
                <w:lang w:val="cs-CZ"/>
              </w:rPr>
              <w:t>/</w:t>
            </w:r>
            <w:r w:rsidRPr="00CC03D5">
              <w:rPr>
                <w:rFonts w:ascii="Arial" w:eastAsia="Arial" w:hAnsi="Arial" w:cs="Arial"/>
                <w:spacing w:val="-1"/>
                <w:sz w:val="16"/>
                <w:szCs w:val="16"/>
                <w:lang w:val="cs-CZ"/>
              </w:rPr>
              <w:t>201</w:t>
            </w:r>
            <w:r w:rsidRPr="00CC03D5">
              <w:rPr>
                <w:rFonts w:ascii="Arial" w:eastAsia="Arial" w:hAnsi="Arial" w:cs="Arial"/>
                <w:sz w:val="16"/>
                <w:szCs w:val="16"/>
                <w:lang w:val="cs-CZ"/>
              </w:rPr>
              <w:t>1 S</w:t>
            </w:r>
            <w:r w:rsidRPr="00CC03D5">
              <w:rPr>
                <w:rFonts w:ascii="Arial" w:eastAsia="Arial" w:hAnsi="Arial" w:cs="Arial"/>
                <w:spacing w:val="-1"/>
                <w:sz w:val="16"/>
                <w:szCs w:val="16"/>
                <w:lang w:val="cs-CZ"/>
              </w:rPr>
              <w:t>b.</w:t>
            </w:r>
          </w:p>
        </w:tc>
        <w:tc>
          <w:tcPr>
            <w:tcW w:w="2694" w:type="dxa"/>
            <w:tcBorders>
              <w:bottom w:val="single" w:sz="4" w:space="0" w:color="auto"/>
            </w:tcBorders>
            <w:shd w:val="clear" w:color="auto" w:fill="D9D9D9" w:themeFill="background1" w:themeFillShade="D9"/>
            <w:vAlign w:val="center"/>
          </w:tcPr>
          <w:p w14:paraId="4F28339A" w14:textId="77777777" w:rsidR="00170B66" w:rsidRPr="00CC03D5" w:rsidRDefault="00170B66" w:rsidP="000A162D">
            <w:pPr>
              <w:pStyle w:val="TableParagraph"/>
              <w:jc w:val="center"/>
              <w:rPr>
                <w:rFonts w:ascii="Arial" w:eastAsia="Calibri" w:hAnsi="Arial" w:cs="Arial"/>
                <w:sz w:val="16"/>
                <w:szCs w:val="16"/>
                <w:lang w:val="cs-CZ"/>
              </w:rPr>
            </w:pPr>
            <w:r w:rsidRPr="00CC03D5">
              <w:rPr>
                <w:rFonts w:ascii="Arial" w:hAnsi="Arial" w:cs="Arial"/>
                <w:spacing w:val="-1"/>
                <w:sz w:val="16"/>
                <w:szCs w:val="16"/>
                <w:lang w:val="cs-CZ"/>
              </w:rPr>
              <w:t>FGG Elbe 2013 / IKSE 2014</w:t>
            </w:r>
          </w:p>
        </w:tc>
        <w:tc>
          <w:tcPr>
            <w:tcW w:w="850" w:type="dxa"/>
            <w:tcBorders>
              <w:bottom w:val="single" w:sz="4" w:space="0" w:color="auto"/>
            </w:tcBorders>
            <w:shd w:val="clear" w:color="auto" w:fill="D9D9D9" w:themeFill="background1" w:themeFillShade="D9"/>
            <w:vAlign w:val="center"/>
          </w:tcPr>
          <w:p w14:paraId="545083D8" w14:textId="77777777" w:rsidR="00170B66" w:rsidRPr="00CC03D5" w:rsidRDefault="00170B66" w:rsidP="00AF1716">
            <w:pPr>
              <w:pStyle w:val="TableParagraph"/>
              <w:jc w:val="center"/>
              <w:rPr>
                <w:rFonts w:ascii="Arial" w:eastAsia="Arial" w:hAnsi="Arial" w:cs="Arial"/>
                <w:sz w:val="16"/>
                <w:szCs w:val="16"/>
                <w:lang w:val="cs-CZ"/>
              </w:rPr>
            </w:pPr>
            <w:r w:rsidRPr="00CC03D5">
              <w:rPr>
                <w:rFonts w:ascii="Arial" w:eastAsia="Arial" w:hAnsi="Arial" w:cs="Arial"/>
                <w:b/>
                <w:bCs/>
                <w:spacing w:val="-1"/>
                <w:sz w:val="16"/>
                <w:szCs w:val="16"/>
                <w:lang w:val="cs-CZ"/>
              </w:rPr>
              <w:t>18</w:t>
            </w:r>
            <w:r w:rsidR="00A95C56">
              <w:rPr>
                <w:rFonts w:ascii="Arial" w:eastAsia="Arial" w:hAnsi="Arial" w:cs="Arial"/>
                <w:b/>
                <w:bCs/>
                <w:spacing w:val="-1"/>
                <w:sz w:val="16"/>
                <w:szCs w:val="16"/>
                <w:lang w:val="cs-CZ"/>
              </w:rPr>
              <w:t>0</w:t>
            </w:r>
          </w:p>
        </w:tc>
        <w:tc>
          <w:tcPr>
            <w:tcW w:w="709" w:type="dxa"/>
            <w:tcBorders>
              <w:bottom w:val="single" w:sz="4" w:space="0" w:color="auto"/>
            </w:tcBorders>
            <w:shd w:val="clear" w:color="auto" w:fill="D9D9D9" w:themeFill="background1" w:themeFillShade="D9"/>
            <w:vAlign w:val="center"/>
          </w:tcPr>
          <w:p w14:paraId="2FDEDAB3" w14:textId="77777777" w:rsidR="00170B66" w:rsidRPr="00CC03D5" w:rsidRDefault="00170B66" w:rsidP="004B2B58">
            <w:pPr>
              <w:pStyle w:val="TableParagraph"/>
              <w:jc w:val="center"/>
              <w:rPr>
                <w:rFonts w:ascii="Arial" w:eastAsia="Arial" w:hAnsi="Arial" w:cs="Arial"/>
                <w:b/>
                <w:spacing w:val="-1"/>
                <w:sz w:val="16"/>
                <w:szCs w:val="16"/>
                <w:lang w:val="cs-CZ"/>
              </w:rPr>
            </w:pPr>
            <w:r w:rsidRPr="00CC03D5">
              <w:rPr>
                <w:rFonts w:ascii="Arial" w:eastAsia="Arial" w:hAnsi="Arial" w:cs="Arial"/>
                <w:b/>
                <w:spacing w:val="-1"/>
                <w:sz w:val="16"/>
                <w:szCs w:val="16"/>
                <w:lang w:val="cs-CZ"/>
              </w:rPr>
              <w:t>25</w:t>
            </w:r>
            <w:r w:rsidR="00A95C56">
              <w:rPr>
                <w:rFonts w:ascii="Arial" w:eastAsia="Arial" w:hAnsi="Arial" w:cs="Arial"/>
                <w:b/>
                <w:spacing w:val="-1"/>
                <w:sz w:val="16"/>
                <w:szCs w:val="16"/>
                <w:lang w:val="cs-CZ"/>
              </w:rPr>
              <w:t>0</w:t>
            </w:r>
          </w:p>
        </w:tc>
        <w:tc>
          <w:tcPr>
            <w:tcW w:w="1559" w:type="dxa"/>
            <w:tcBorders>
              <w:bottom w:val="single" w:sz="4" w:space="0" w:color="auto"/>
            </w:tcBorders>
            <w:shd w:val="clear" w:color="auto" w:fill="D9D9D9" w:themeFill="background1" w:themeFillShade="D9"/>
            <w:vAlign w:val="center"/>
          </w:tcPr>
          <w:p w14:paraId="1378C7B7" w14:textId="77777777" w:rsidR="00170B66" w:rsidRPr="00CC03D5" w:rsidRDefault="00170B66" w:rsidP="000A162D">
            <w:pPr>
              <w:pStyle w:val="TableParagraph"/>
              <w:jc w:val="center"/>
              <w:rPr>
                <w:rFonts w:ascii="Arial" w:eastAsia="Arial" w:hAnsi="Arial" w:cs="Arial"/>
                <w:sz w:val="16"/>
                <w:szCs w:val="16"/>
                <w:lang w:val="cs-CZ"/>
              </w:rPr>
            </w:pPr>
            <w:r w:rsidRPr="00CC03D5">
              <w:rPr>
                <w:rFonts w:ascii="Arial" w:eastAsia="Arial" w:hAnsi="Arial" w:cs="Arial"/>
                <w:spacing w:val="-1"/>
                <w:sz w:val="16"/>
                <w:szCs w:val="16"/>
                <w:lang w:val="cs-CZ"/>
              </w:rPr>
              <w:t>23</w:t>
            </w:r>
            <w:r w:rsidRPr="00CC03D5">
              <w:rPr>
                <w:rFonts w:ascii="Arial" w:eastAsia="Arial" w:hAnsi="Arial" w:cs="Arial"/>
                <w:sz w:val="16"/>
                <w:szCs w:val="16"/>
                <w:lang w:val="cs-CZ"/>
              </w:rPr>
              <w:t>/</w:t>
            </w:r>
            <w:r w:rsidRPr="00CC03D5">
              <w:rPr>
                <w:rFonts w:ascii="Arial" w:eastAsia="Arial" w:hAnsi="Arial" w:cs="Arial"/>
                <w:spacing w:val="-1"/>
                <w:sz w:val="16"/>
                <w:szCs w:val="16"/>
                <w:lang w:val="cs-CZ"/>
              </w:rPr>
              <w:t>201</w:t>
            </w:r>
            <w:r w:rsidRPr="00CC03D5">
              <w:rPr>
                <w:rFonts w:ascii="Arial" w:eastAsia="Arial" w:hAnsi="Arial" w:cs="Arial"/>
                <w:sz w:val="16"/>
                <w:szCs w:val="16"/>
                <w:lang w:val="cs-CZ"/>
              </w:rPr>
              <w:t>1 S</w:t>
            </w:r>
            <w:r w:rsidRPr="00CC03D5">
              <w:rPr>
                <w:rFonts w:ascii="Arial" w:eastAsia="Arial" w:hAnsi="Arial" w:cs="Arial"/>
                <w:spacing w:val="-1"/>
                <w:sz w:val="16"/>
                <w:szCs w:val="16"/>
                <w:lang w:val="cs-CZ"/>
              </w:rPr>
              <w:t>b.</w:t>
            </w:r>
          </w:p>
        </w:tc>
        <w:tc>
          <w:tcPr>
            <w:tcW w:w="2552" w:type="dxa"/>
            <w:tcBorders>
              <w:bottom w:val="single" w:sz="4" w:space="0" w:color="auto"/>
            </w:tcBorders>
            <w:shd w:val="clear" w:color="auto" w:fill="D9D9D9" w:themeFill="background1" w:themeFillShade="D9"/>
            <w:vAlign w:val="center"/>
          </w:tcPr>
          <w:p w14:paraId="1B928449" w14:textId="77777777" w:rsidR="00170B66" w:rsidRPr="00CC03D5" w:rsidRDefault="00170B66" w:rsidP="00EF2C7A">
            <w:pPr>
              <w:pStyle w:val="TableParagraph"/>
              <w:jc w:val="center"/>
              <w:rPr>
                <w:rFonts w:ascii="Arial" w:eastAsia="Calibri" w:hAnsi="Arial" w:cs="Arial"/>
                <w:sz w:val="16"/>
                <w:szCs w:val="16"/>
                <w:lang w:val="cs-CZ"/>
              </w:rPr>
            </w:pPr>
            <w:r w:rsidRPr="00CC03D5">
              <w:rPr>
                <w:rFonts w:ascii="Arial" w:hAnsi="Arial" w:cs="Arial"/>
                <w:spacing w:val="-1"/>
                <w:sz w:val="16"/>
                <w:szCs w:val="16"/>
                <w:lang w:val="cs-CZ"/>
              </w:rPr>
              <w:t>FGG Elbe 2016</w:t>
            </w:r>
            <w:r w:rsidR="006310D8">
              <w:rPr>
                <w:rFonts w:ascii="Arial" w:hAnsi="Arial" w:cs="Arial"/>
                <w:spacing w:val="-1"/>
                <w:sz w:val="16"/>
                <w:szCs w:val="16"/>
                <w:lang w:val="cs-CZ"/>
              </w:rPr>
              <w:t xml:space="preserve"> </w:t>
            </w:r>
            <w:r w:rsidR="00EF2C7A" w:rsidRPr="006310D8">
              <w:rPr>
                <w:rFonts w:ascii="Arial" w:hAnsi="Arial" w:cs="Arial"/>
                <w:spacing w:val="-1"/>
                <w:sz w:val="16"/>
                <w:szCs w:val="16"/>
                <w:vertAlign w:val="superscript"/>
                <w:lang w:val="cs-CZ"/>
              </w:rPr>
              <w:t>3)</w:t>
            </w:r>
            <w:r w:rsidRPr="00CC03D5">
              <w:rPr>
                <w:rFonts w:ascii="Arial" w:hAnsi="Arial" w:cs="Arial"/>
                <w:spacing w:val="-1"/>
                <w:sz w:val="16"/>
                <w:szCs w:val="16"/>
                <w:lang w:val="cs-CZ"/>
              </w:rPr>
              <w:t xml:space="preserve"> / IKSE 2018</w:t>
            </w:r>
          </w:p>
        </w:tc>
      </w:tr>
      <w:tr w:rsidR="00170B66" w:rsidRPr="00CC03D5" w14:paraId="4BC904FF" w14:textId="77777777" w:rsidTr="00733615">
        <w:trPr>
          <w:cantSplit/>
        </w:trPr>
        <w:tc>
          <w:tcPr>
            <w:tcW w:w="0" w:type="auto"/>
            <w:tcBorders>
              <w:bottom w:val="single" w:sz="4" w:space="0" w:color="auto"/>
            </w:tcBorders>
            <w:vAlign w:val="center"/>
          </w:tcPr>
          <w:p w14:paraId="43843748" w14:textId="77777777" w:rsidR="00170B66" w:rsidRPr="00CC03D5" w:rsidRDefault="00170B66" w:rsidP="000A162D">
            <w:pPr>
              <w:pStyle w:val="TableParagraph"/>
              <w:jc w:val="center"/>
              <w:rPr>
                <w:rFonts w:ascii="Arial" w:eastAsia="Arial" w:hAnsi="Arial" w:cs="Arial"/>
                <w:sz w:val="16"/>
                <w:szCs w:val="16"/>
                <w:lang w:val="cs-CZ"/>
              </w:rPr>
            </w:pPr>
            <w:r w:rsidRPr="00CC03D5">
              <w:rPr>
                <w:rFonts w:ascii="Arial" w:eastAsia="Arial" w:hAnsi="Arial" w:cs="Arial"/>
                <w:b/>
                <w:bCs/>
                <w:spacing w:val="-1"/>
                <w:sz w:val="16"/>
                <w:szCs w:val="16"/>
                <w:lang w:val="cs-CZ"/>
              </w:rPr>
              <w:t>27</w:t>
            </w:r>
          </w:p>
        </w:tc>
        <w:tc>
          <w:tcPr>
            <w:tcW w:w="1168" w:type="dxa"/>
            <w:tcBorders>
              <w:bottom w:val="single" w:sz="4" w:space="0" w:color="auto"/>
            </w:tcBorders>
            <w:vAlign w:val="center"/>
          </w:tcPr>
          <w:p w14:paraId="42499EEC" w14:textId="77777777" w:rsidR="00170B66" w:rsidRPr="00CC03D5" w:rsidRDefault="00170B66" w:rsidP="00733615">
            <w:pPr>
              <w:pStyle w:val="TableParagraph"/>
              <w:rPr>
                <w:rFonts w:ascii="Arial" w:eastAsia="Arial" w:hAnsi="Arial" w:cs="Arial"/>
                <w:sz w:val="16"/>
                <w:szCs w:val="16"/>
                <w:lang w:val="cs-CZ"/>
              </w:rPr>
            </w:pPr>
            <w:r w:rsidRPr="00CC03D5">
              <w:rPr>
                <w:rFonts w:ascii="Arial" w:eastAsia="Arial" w:hAnsi="Arial" w:cs="Arial"/>
                <w:b/>
                <w:bCs/>
                <w:sz w:val="16"/>
                <w:szCs w:val="16"/>
                <w:lang w:val="cs-CZ"/>
              </w:rPr>
              <w:t xml:space="preserve">Σ </w:t>
            </w:r>
            <w:r w:rsidRPr="00CC03D5">
              <w:rPr>
                <w:rFonts w:ascii="Arial" w:eastAsia="Arial" w:hAnsi="Arial" w:cs="Arial"/>
                <w:b/>
                <w:bCs/>
                <w:spacing w:val="3"/>
                <w:sz w:val="16"/>
                <w:szCs w:val="16"/>
                <w:lang w:val="cs-CZ"/>
              </w:rPr>
              <w:t>P</w:t>
            </w:r>
            <w:r w:rsidRPr="00CC03D5">
              <w:rPr>
                <w:rFonts w:ascii="Arial" w:eastAsia="Arial" w:hAnsi="Arial" w:cs="Arial"/>
                <w:b/>
                <w:bCs/>
                <w:spacing w:val="-9"/>
                <w:sz w:val="16"/>
                <w:szCs w:val="16"/>
                <w:lang w:val="cs-CZ"/>
              </w:rPr>
              <w:t>A</w:t>
            </w:r>
            <w:r w:rsidR="00733615" w:rsidRPr="00CC03D5">
              <w:rPr>
                <w:rFonts w:ascii="Arial" w:eastAsia="Arial" w:hAnsi="Arial" w:cs="Arial"/>
                <w:b/>
                <w:bCs/>
                <w:spacing w:val="-9"/>
                <w:sz w:val="16"/>
                <w:szCs w:val="16"/>
                <w:lang w:val="cs-CZ"/>
              </w:rPr>
              <w:t>U</w:t>
            </w:r>
            <w:r w:rsidRPr="00CC03D5">
              <w:rPr>
                <w:rFonts w:ascii="Arial" w:eastAsia="Arial" w:hAnsi="Arial" w:cs="Arial"/>
                <w:b/>
                <w:bCs/>
                <w:sz w:val="16"/>
                <w:szCs w:val="16"/>
                <w:lang w:val="cs-CZ"/>
              </w:rPr>
              <w:t xml:space="preserve"> 5</w:t>
            </w:r>
            <w:r w:rsidR="001F3BC6">
              <w:rPr>
                <w:rFonts w:ascii="Arial" w:eastAsia="Arial" w:hAnsi="Arial" w:cs="Arial"/>
                <w:b/>
                <w:bCs/>
                <w:sz w:val="16"/>
                <w:szCs w:val="16"/>
                <w:lang w:val="cs-CZ"/>
              </w:rPr>
              <w:t xml:space="preserve"> </w:t>
            </w:r>
            <w:r w:rsidR="001F3BC6" w:rsidRPr="00CB720A">
              <w:rPr>
                <w:rFonts w:ascii="Arial" w:eastAsia="Arial" w:hAnsi="Arial" w:cs="Arial"/>
                <w:b/>
                <w:bCs/>
                <w:sz w:val="16"/>
                <w:szCs w:val="16"/>
                <w:vertAlign w:val="superscript"/>
                <w:lang w:val="cs-CZ"/>
              </w:rPr>
              <w:t>2)</w:t>
            </w:r>
          </w:p>
        </w:tc>
        <w:tc>
          <w:tcPr>
            <w:tcW w:w="828" w:type="dxa"/>
            <w:tcBorders>
              <w:bottom w:val="single" w:sz="4" w:space="0" w:color="auto"/>
            </w:tcBorders>
            <w:vAlign w:val="center"/>
          </w:tcPr>
          <w:p w14:paraId="1D628E71" w14:textId="77777777" w:rsidR="00170B66" w:rsidRPr="00CC03D5" w:rsidRDefault="00A95C56" w:rsidP="000A162D">
            <w:pPr>
              <w:pStyle w:val="TableParagraph"/>
              <w:jc w:val="center"/>
              <w:rPr>
                <w:rFonts w:ascii="Arial" w:eastAsia="Arial" w:hAnsi="Arial" w:cs="Arial"/>
                <w:sz w:val="16"/>
                <w:szCs w:val="16"/>
                <w:lang w:val="cs-CZ"/>
              </w:rPr>
            </w:pPr>
            <w:proofErr w:type="spellStart"/>
            <w:r>
              <w:rPr>
                <w:rFonts w:ascii="Arial" w:eastAsia="Arial" w:hAnsi="Arial" w:cs="Arial"/>
                <w:b/>
                <w:bCs/>
                <w:sz w:val="16"/>
                <w:szCs w:val="16"/>
                <w:lang w:val="cs-CZ"/>
              </w:rPr>
              <w:t>μ</w:t>
            </w:r>
            <w:r w:rsidR="00170B66" w:rsidRPr="00CC03D5">
              <w:rPr>
                <w:rFonts w:ascii="Arial" w:eastAsia="Arial" w:hAnsi="Arial" w:cs="Arial"/>
                <w:b/>
                <w:bCs/>
                <w:sz w:val="16"/>
                <w:szCs w:val="16"/>
                <w:lang w:val="cs-CZ"/>
              </w:rPr>
              <w:t>g</w:t>
            </w:r>
            <w:proofErr w:type="spellEnd"/>
            <w:r w:rsidR="00170B66" w:rsidRPr="00CC03D5">
              <w:rPr>
                <w:rFonts w:ascii="Arial" w:eastAsia="Arial" w:hAnsi="Arial" w:cs="Arial"/>
                <w:b/>
                <w:bCs/>
                <w:sz w:val="16"/>
                <w:szCs w:val="16"/>
                <w:lang w:val="cs-CZ"/>
              </w:rPr>
              <w:t>/</w:t>
            </w:r>
            <w:r w:rsidR="00170B66" w:rsidRPr="00CC03D5">
              <w:rPr>
                <w:rFonts w:ascii="Arial" w:eastAsia="Arial" w:hAnsi="Arial" w:cs="Arial"/>
                <w:b/>
                <w:bCs/>
                <w:spacing w:val="-3"/>
                <w:sz w:val="16"/>
                <w:szCs w:val="16"/>
                <w:lang w:val="cs-CZ"/>
              </w:rPr>
              <w:t>k</w:t>
            </w:r>
            <w:r w:rsidR="00170B66" w:rsidRPr="00CC03D5">
              <w:rPr>
                <w:rFonts w:ascii="Arial" w:eastAsia="Arial" w:hAnsi="Arial" w:cs="Arial"/>
                <w:b/>
                <w:bCs/>
                <w:sz w:val="16"/>
                <w:szCs w:val="16"/>
                <w:lang w:val="cs-CZ"/>
              </w:rPr>
              <w:t>g</w:t>
            </w:r>
          </w:p>
        </w:tc>
        <w:tc>
          <w:tcPr>
            <w:tcW w:w="1480" w:type="dxa"/>
            <w:gridSpan w:val="2"/>
            <w:tcBorders>
              <w:bottom w:val="single" w:sz="4" w:space="0" w:color="auto"/>
            </w:tcBorders>
            <w:shd w:val="clear" w:color="auto" w:fill="CAFBA5"/>
            <w:vAlign w:val="center"/>
          </w:tcPr>
          <w:p w14:paraId="68FF3C32" w14:textId="77777777" w:rsidR="00170B66" w:rsidRPr="00CC03D5" w:rsidRDefault="00170B66" w:rsidP="00AF1716">
            <w:pPr>
              <w:pStyle w:val="TableParagraph"/>
              <w:jc w:val="center"/>
              <w:rPr>
                <w:rFonts w:ascii="Arial" w:eastAsia="Arial" w:hAnsi="Arial" w:cs="Arial"/>
                <w:spacing w:val="-1"/>
                <w:sz w:val="16"/>
                <w:szCs w:val="16"/>
                <w:lang w:val="cs-CZ"/>
              </w:rPr>
            </w:pPr>
            <w:r w:rsidRPr="00CC03D5">
              <w:rPr>
                <w:rFonts w:ascii="Arial" w:eastAsia="Arial" w:hAnsi="Arial" w:cs="Arial"/>
                <w:b/>
                <w:bCs/>
                <w:sz w:val="16"/>
                <w:szCs w:val="16"/>
                <w:lang w:val="cs-CZ"/>
              </w:rPr>
              <w:t>6</w:t>
            </w:r>
            <w:r w:rsidR="00A95C56">
              <w:rPr>
                <w:rFonts w:ascii="Arial" w:eastAsia="Arial" w:hAnsi="Arial" w:cs="Arial"/>
                <w:b/>
                <w:bCs/>
                <w:sz w:val="16"/>
                <w:szCs w:val="16"/>
                <w:lang w:val="cs-CZ"/>
              </w:rPr>
              <w:t>00</w:t>
            </w:r>
          </w:p>
        </w:tc>
        <w:tc>
          <w:tcPr>
            <w:tcW w:w="1752" w:type="dxa"/>
            <w:tcBorders>
              <w:bottom w:val="single" w:sz="4" w:space="0" w:color="auto"/>
            </w:tcBorders>
            <w:shd w:val="clear" w:color="auto" w:fill="CAFBA5"/>
            <w:vAlign w:val="center"/>
          </w:tcPr>
          <w:p w14:paraId="22B53E61" w14:textId="77777777" w:rsidR="00170B66" w:rsidRPr="00CC03D5" w:rsidRDefault="00170B66" w:rsidP="000A162D">
            <w:pPr>
              <w:pStyle w:val="TableParagraph"/>
              <w:jc w:val="center"/>
              <w:rPr>
                <w:rFonts w:ascii="Arial" w:eastAsia="Arial" w:hAnsi="Arial" w:cs="Arial"/>
                <w:sz w:val="16"/>
                <w:szCs w:val="16"/>
                <w:lang w:val="cs-CZ"/>
              </w:rPr>
            </w:pPr>
            <w:r w:rsidRPr="00CC03D5">
              <w:rPr>
                <w:rFonts w:ascii="Arial" w:eastAsia="Arial" w:hAnsi="Arial" w:cs="Arial"/>
                <w:spacing w:val="-1"/>
                <w:sz w:val="16"/>
                <w:szCs w:val="16"/>
                <w:lang w:val="cs-CZ"/>
              </w:rPr>
              <w:t>GÜ</w:t>
            </w:r>
            <w:r w:rsidRPr="00CC03D5">
              <w:rPr>
                <w:rFonts w:ascii="Arial" w:eastAsia="Arial" w:hAnsi="Arial" w:cs="Arial"/>
                <w:sz w:val="16"/>
                <w:szCs w:val="16"/>
                <w:lang w:val="cs-CZ"/>
              </w:rPr>
              <w:t>B</w:t>
            </w:r>
            <w:r w:rsidRPr="00CC03D5">
              <w:rPr>
                <w:rFonts w:ascii="Arial" w:eastAsia="Arial" w:hAnsi="Arial" w:cs="Arial"/>
                <w:spacing w:val="-2"/>
                <w:sz w:val="16"/>
                <w:szCs w:val="16"/>
                <w:lang w:val="cs-CZ"/>
              </w:rPr>
              <w:t>AK</w:t>
            </w:r>
          </w:p>
        </w:tc>
        <w:tc>
          <w:tcPr>
            <w:tcW w:w="2694" w:type="dxa"/>
            <w:tcBorders>
              <w:bottom w:val="single" w:sz="4" w:space="0" w:color="auto"/>
            </w:tcBorders>
            <w:shd w:val="clear" w:color="auto" w:fill="CAFBA5"/>
            <w:vAlign w:val="center"/>
          </w:tcPr>
          <w:p w14:paraId="1E26DE84" w14:textId="77777777" w:rsidR="00170B66" w:rsidRPr="00CC03D5" w:rsidRDefault="00170B66" w:rsidP="000A162D">
            <w:pPr>
              <w:pStyle w:val="TableParagraph"/>
              <w:jc w:val="center"/>
              <w:rPr>
                <w:rFonts w:ascii="Arial" w:eastAsia="Calibri" w:hAnsi="Arial" w:cs="Arial"/>
                <w:sz w:val="16"/>
                <w:szCs w:val="16"/>
                <w:lang w:val="cs-CZ"/>
              </w:rPr>
            </w:pPr>
            <w:r w:rsidRPr="00CC03D5">
              <w:rPr>
                <w:rFonts w:ascii="Arial" w:hAnsi="Arial" w:cs="Arial"/>
                <w:spacing w:val="-1"/>
                <w:sz w:val="16"/>
                <w:szCs w:val="16"/>
                <w:lang w:val="cs-CZ"/>
              </w:rPr>
              <w:t>FGG Elbe 2013 / IKSE 2014</w:t>
            </w:r>
          </w:p>
        </w:tc>
        <w:tc>
          <w:tcPr>
            <w:tcW w:w="1559" w:type="dxa"/>
            <w:gridSpan w:val="2"/>
            <w:tcBorders>
              <w:bottom w:val="single" w:sz="4" w:space="0" w:color="auto"/>
            </w:tcBorders>
            <w:shd w:val="clear" w:color="auto" w:fill="F7CAAC" w:themeFill="accent2" w:themeFillTint="66"/>
            <w:vAlign w:val="center"/>
          </w:tcPr>
          <w:p w14:paraId="5433282C" w14:textId="77777777" w:rsidR="00170B66" w:rsidRPr="00CC03D5" w:rsidRDefault="00170B66" w:rsidP="00AF1716">
            <w:pPr>
              <w:pStyle w:val="TableParagraph"/>
              <w:jc w:val="center"/>
              <w:rPr>
                <w:rFonts w:ascii="Arial" w:eastAsia="Arial" w:hAnsi="Arial" w:cs="Arial"/>
                <w:spacing w:val="-1"/>
                <w:sz w:val="16"/>
                <w:szCs w:val="16"/>
                <w:lang w:val="cs-CZ"/>
              </w:rPr>
            </w:pPr>
            <w:r w:rsidRPr="00CC03D5">
              <w:rPr>
                <w:rFonts w:ascii="Arial" w:eastAsia="Arial" w:hAnsi="Arial" w:cs="Arial"/>
                <w:b/>
                <w:bCs/>
                <w:spacing w:val="-1"/>
                <w:sz w:val="16"/>
                <w:szCs w:val="16"/>
                <w:lang w:val="cs-CZ"/>
              </w:rPr>
              <w:t>2</w:t>
            </w:r>
            <w:r w:rsidRPr="00CC03D5">
              <w:rPr>
                <w:rFonts w:ascii="Arial" w:eastAsia="Arial" w:hAnsi="Arial" w:cs="Arial"/>
                <w:b/>
                <w:bCs/>
                <w:sz w:val="16"/>
                <w:szCs w:val="16"/>
                <w:lang w:val="cs-CZ"/>
              </w:rPr>
              <w:t>5</w:t>
            </w:r>
            <w:r w:rsidR="00A95C56">
              <w:rPr>
                <w:rFonts w:ascii="Arial" w:eastAsia="Arial" w:hAnsi="Arial" w:cs="Arial"/>
                <w:b/>
                <w:bCs/>
                <w:sz w:val="16"/>
                <w:szCs w:val="16"/>
                <w:lang w:val="cs-CZ"/>
              </w:rPr>
              <w:t>00</w:t>
            </w:r>
          </w:p>
        </w:tc>
        <w:tc>
          <w:tcPr>
            <w:tcW w:w="1559" w:type="dxa"/>
            <w:tcBorders>
              <w:bottom w:val="single" w:sz="4" w:space="0" w:color="auto"/>
            </w:tcBorders>
            <w:shd w:val="clear" w:color="auto" w:fill="F7CAAC" w:themeFill="accent2" w:themeFillTint="66"/>
            <w:vAlign w:val="center"/>
          </w:tcPr>
          <w:p w14:paraId="4998FEFE" w14:textId="77777777" w:rsidR="00170B66" w:rsidRPr="00CC03D5" w:rsidRDefault="00170B66" w:rsidP="000A162D">
            <w:pPr>
              <w:pStyle w:val="TableParagraph"/>
              <w:jc w:val="center"/>
              <w:rPr>
                <w:rFonts w:ascii="Arial" w:eastAsia="Arial" w:hAnsi="Arial" w:cs="Arial"/>
                <w:sz w:val="16"/>
                <w:szCs w:val="16"/>
                <w:lang w:val="cs-CZ"/>
              </w:rPr>
            </w:pPr>
            <w:r w:rsidRPr="00CC03D5">
              <w:rPr>
                <w:rFonts w:ascii="Arial" w:eastAsia="Arial" w:hAnsi="Arial" w:cs="Arial"/>
                <w:spacing w:val="-1"/>
                <w:sz w:val="16"/>
                <w:szCs w:val="16"/>
                <w:lang w:val="cs-CZ"/>
              </w:rPr>
              <w:t>23</w:t>
            </w:r>
            <w:r w:rsidRPr="00CC03D5">
              <w:rPr>
                <w:rFonts w:ascii="Arial" w:eastAsia="Arial" w:hAnsi="Arial" w:cs="Arial"/>
                <w:sz w:val="16"/>
                <w:szCs w:val="16"/>
                <w:lang w:val="cs-CZ"/>
              </w:rPr>
              <w:t>/</w:t>
            </w:r>
            <w:r w:rsidRPr="00CC03D5">
              <w:rPr>
                <w:rFonts w:ascii="Arial" w:eastAsia="Arial" w:hAnsi="Arial" w:cs="Arial"/>
                <w:spacing w:val="-1"/>
                <w:sz w:val="16"/>
                <w:szCs w:val="16"/>
                <w:lang w:val="cs-CZ"/>
              </w:rPr>
              <w:t>201</w:t>
            </w:r>
            <w:r w:rsidRPr="00CC03D5">
              <w:rPr>
                <w:rFonts w:ascii="Arial" w:eastAsia="Arial" w:hAnsi="Arial" w:cs="Arial"/>
                <w:sz w:val="16"/>
                <w:szCs w:val="16"/>
                <w:lang w:val="cs-CZ"/>
              </w:rPr>
              <w:t>1 S</w:t>
            </w:r>
            <w:r w:rsidRPr="00CC03D5">
              <w:rPr>
                <w:rFonts w:ascii="Arial" w:eastAsia="Arial" w:hAnsi="Arial" w:cs="Arial"/>
                <w:spacing w:val="-1"/>
                <w:sz w:val="16"/>
                <w:szCs w:val="16"/>
                <w:lang w:val="cs-CZ"/>
              </w:rPr>
              <w:t>b.</w:t>
            </w:r>
          </w:p>
        </w:tc>
        <w:tc>
          <w:tcPr>
            <w:tcW w:w="2552" w:type="dxa"/>
            <w:tcBorders>
              <w:bottom w:val="single" w:sz="4" w:space="0" w:color="auto"/>
            </w:tcBorders>
            <w:shd w:val="clear" w:color="auto" w:fill="F7CAAC" w:themeFill="accent2" w:themeFillTint="66"/>
            <w:vAlign w:val="center"/>
          </w:tcPr>
          <w:p w14:paraId="0D7B3C67" w14:textId="77777777" w:rsidR="00170B66" w:rsidRPr="00CC03D5" w:rsidRDefault="00170B66" w:rsidP="000A162D">
            <w:pPr>
              <w:pStyle w:val="TableParagraph"/>
              <w:jc w:val="center"/>
              <w:rPr>
                <w:rFonts w:ascii="Arial" w:eastAsia="Calibri" w:hAnsi="Arial" w:cs="Arial"/>
                <w:sz w:val="16"/>
                <w:szCs w:val="16"/>
                <w:lang w:val="cs-CZ"/>
              </w:rPr>
            </w:pPr>
            <w:r w:rsidRPr="00CC03D5">
              <w:rPr>
                <w:rFonts w:ascii="Arial" w:hAnsi="Arial" w:cs="Arial"/>
                <w:spacing w:val="-1"/>
                <w:sz w:val="16"/>
                <w:szCs w:val="16"/>
                <w:lang w:val="cs-CZ"/>
              </w:rPr>
              <w:t>FGG Elbe 2013 / IKSE 2014</w:t>
            </w:r>
          </w:p>
        </w:tc>
      </w:tr>
      <w:tr w:rsidR="00170B66" w:rsidRPr="00CC03D5" w14:paraId="75EE41F5" w14:textId="77777777" w:rsidTr="00733615">
        <w:trPr>
          <w:cantSplit/>
        </w:trPr>
        <w:tc>
          <w:tcPr>
            <w:tcW w:w="0" w:type="auto"/>
            <w:shd w:val="clear" w:color="auto" w:fill="D9D9D9" w:themeFill="background1" w:themeFillShade="D9"/>
            <w:vAlign w:val="center"/>
          </w:tcPr>
          <w:p w14:paraId="79D192B5" w14:textId="77777777" w:rsidR="00170B66" w:rsidRPr="00CC03D5" w:rsidRDefault="00170B66" w:rsidP="000A162D">
            <w:pPr>
              <w:pStyle w:val="TableParagraph"/>
              <w:jc w:val="center"/>
              <w:rPr>
                <w:rFonts w:ascii="Arial" w:eastAsia="Arial" w:hAnsi="Arial" w:cs="Arial"/>
                <w:sz w:val="16"/>
                <w:szCs w:val="16"/>
                <w:lang w:val="cs-CZ"/>
              </w:rPr>
            </w:pPr>
            <w:r w:rsidRPr="00CC03D5">
              <w:rPr>
                <w:rFonts w:ascii="Arial" w:eastAsia="Arial" w:hAnsi="Arial" w:cs="Arial"/>
                <w:b/>
                <w:bCs/>
                <w:spacing w:val="-1"/>
                <w:sz w:val="16"/>
                <w:szCs w:val="16"/>
                <w:lang w:val="cs-CZ"/>
              </w:rPr>
              <w:t>28</w:t>
            </w:r>
          </w:p>
        </w:tc>
        <w:tc>
          <w:tcPr>
            <w:tcW w:w="1168" w:type="dxa"/>
            <w:shd w:val="clear" w:color="auto" w:fill="D9D9D9" w:themeFill="background1" w:themeFillShade="D9"/>
            <w:vAlign w:val="center"/>
          </w:tcPr>
          <w:p w14:paraId="77F6356B" w14:textId="77777777" w:rsidR="00170B66" w:rsidRPr="00CC03D5" w:rsidRDefault="00170B66" w:rsidP="000A162D">
            <w:pPr>
              <w:pStyle w:val="TableParagraph"/>
              <w:rPr>
                <w:rFonts w:ascii="Arial" w:eastAsia="Arial" w:hAnsi="Arial" w:cs="Arial"/>
                <w:sz w:val="16"/>
                <w:szCs w:val="16"/>
                <w:lang w:val="cs-CZ"/>
              </w:rPr>
            </w:pPr>
            <w:r w:rsidRPr="00CC03D5">
              <w:rPr>
                <w:rFonts w:ascii="Arial" w:eastAsia="Arial" w:hAnsi="Arial" w:cs="Arial"/>
                <w:b/>
                <w:bCs/>
                <w:spacing w:val="-3"/>
                <w:sz w:val="16"/>
                <w:szCs w:val="16"/>
                <w:lang w:val="cs-CZ"/>
              </w:rPr>
              <w:t>T</w:t>
            </w:r>
            <w:r w:rsidRPr="00CC03D5">
              <w:rPr>
                <w:rFonts w:ascii="Arial" w:eastAsia="Arial" w:hAnsi="Arial" w:cs="Arial"/>
                <w:b/>
                <w:bCs/>
                <w:spacing w:val="1"/>
                <w:sz w:val="16"/>
                <w:szCs w:val="16"/>
                <w:lang w:val="cs-CZ"/>
              </w:rPr>
              <w:t>B</w:t>
            </w:r>
            <w:r w:rsidRPr="00CC03D5">
              <w:rPr>
                <w:rFonts w:ascii="Arial" w:eastAsia="Arial" w:hAnsi="Arial" w:cs="Arial"/>
                <w:b/>
                <w:bCs/>
                <w:sz w:val="16"/>
                <w:szCs w:val="16"/>
                <w:lang w:val="cs-CZ"/>
              </w:rPr>
              <w:t>T</w:t>
            </w:r>
          </w:p>
        </w:tc>
        <w:tc>
          <w:tcPr>
            <w:tcW w:w="828" w:type="dxa"/>
            <w:shd w:val="clear" w:color="auto" w:fill="D9D9D9" w:themeFill="background1" w:themeFillShade="D9"/>
            <w:vAlign w:val="center"/>
          </w:tcPr>
          <w:p w14:paraId="3B6C39E4" w14:textId="77777777" w:rsidR="00170B66" w:rsidRPr="00CC03D5" w:rsidRDefault="00170B66" w:rsidP="000A162D">
            <w:pPr>
              <w:pStyle w:val="TableParagraph"/>
              <w:jc w:val="center"/>
              <w:rPr>
                <w:rFonts w:ascii="Arial" w:eastAsia="Arial" w:hAnsi="Arial" w:cs="Arial"/>
                <w:sz w:val="16"/>
                <w:szCs w:val="16"/>
                <w:lang w:val="cs-CZ"/>
              </w:rPr>
            </w:pPr>
            <w:proofErr w:type="spellStart"/>
            <w:r w:rsidRPr="00CC03D5">
              <w:rPr>
                <w:rFonts w:ascii="Arial" w:eastAsia="Arial" w:hAnsi="Arial" w:cs="Arial"/>
                <w:b/>
                <w:bCs/>
                <w:sz w:val="16"/>
                <w:szCs w:val="16"/>
                <w:lang w:val="cs-CZ"/>
              </w:rPr>
              <w:t>μg</w:t>
            </w:r>
            <w:proofErr w:type="spellEnd"/>
            <w:r w:rsidRPr="00CC03D5">
              <w:rPr>
                <w:rFonts w:ascii="Arial" w:eastAsia="Arial" w:hAnsi="Arial" w:cs="Arial"/>
                <w:b/>
                <w:bCs/>
                <w:sz w:val="16"/>
                <w:szCs w:val="16"/>
                <w:lang w:val="cs-CZ"/>
              </w:rPr>
              <w:t>/</w:t>
            </w:r>
            <w:r w:rsidRPr="00CC03D5">
              <w:rPr>
                <w:rFonts w:ascii="Arial" w:eastAsia="Arial" w:hAnsi="Arial" w:cs="Arial"/>
                <w:b/>
                <w:bCs/>
                <w:spacing w:val="-1"/>
                <w:sz w:val="16"/>
                <w:szCs w:val="16"/>
                <w:lang w:val="cs-CZ"/>
              </w:rPr>
              <w:t>kg</w:t>
            </w:r>
          </w:p>
        </w:tc>
        <w:tc>
          <w:tcPr>
            <w:tcW w:w="1480" w:type="dxa"/>
            <w:gridSpan w:val="2"/>
            <w:tcBorders>
              <w:bottom w:val="single" w:sz="4" w:space="0" w:color="auto"/>
            </w:tcBorders>
            <w:shd w:val="clear" w:color="auto" w:fill="D9D9D9" w:themeFill="background1" w:themeFillShade="D9"/>
            <w:vAlign w:val="center"/>
          </w:tcPr>
          <w:p w14:paraId="41F5A895" w14:textId="77777777" w:rsidR="00170B66" w:rsidRPr="00CC03D5" w:rsidRDefault="00170B66" w:rsidP="000A162D">
            <w:pPr>
              <w:pStyle w:val="TableParagraph"/>
              <w:jc w:val="center"/>
              <w:rPr>
                <w:rFonts w:ascii="Arial" w:eastAsia="Arial" w:hAnsi="Arial" w:cs="Arial"/>
                <w:spacing w:val="-1"/>
                <w:sz w:val="16"/>
                <w:szCs w:val="16"/>
                <w:lang w:val="cs-CZ"/>
              </w:rPr>
            </w:pPr>
            <w:r w:rsidRPr="00CC03D5">
              <w:rPr>
                <w:rFonts w:ascii="Arial" w:eastAsia="Arial" w:hAnsi="Arial" w:cs="Arial"/>
                <w:b/>
                <w:bCs/>
                <w:spacing w:val="-1"/>
                <w:sz w:val="16"/>
                <w:szCs w:val="16"/>
                <w:lang w:val="cs-CZ"/>
              </w:rPr>
              <w:t>0</w:t>
            </w:r>
            <w:r w:rsidRPr="00CC03D5">
              <w:rPr>
                <w:rFonts w:ascii="Arial" w:eastAsia="Arial" w:hAnsi="Arial" w:cs="Arial"/>
                <w:b/>
                <w:bCs/>
                <w:sz w:val="16"/>
                <w:szCs w:val="16"/>
                <w:lang w:val="cs-CZ"/>
              </w:rPr>
              <w:t>,</w:t>
            </w:r>
            <w:r w:rsidRPr="00CC03D5">
              <w:rPr>
                <w:rFonts w:ascii="Arial" w:eastAsia="Arial" w:hAnsi="Arial" w:cs="Arial"/>
                <w:b/>
                <w:bCs/>
                <w:spacing w:val="-1"/>
                <w:sz w:val="16"/>
                <w:szCs w:val="16"/>
                <w:lang w:val="cs-CZ"/>
              </w:rPr>
              <w:t>02</w:t>
            </w:r>
          </w:p>
        </w:tc>
        <w:tc>
          <w:tcPr>
            <w:tcW w:w="1752" w:type="dxa"/>
            <w:tcBorders>
              <w:bottom w:val="single" w:sz="4" w:space="0" w:color="auto"/>
            </w:tcBorders>
            <w:shd w:val="clear" w:color="auto" w:fill="D9D9D9" w:themeFill="background1" w:themeFillShade="D9"/>
            <w:vAlign w:val="center"/>
          </w:tcPr>
          <w:p w14:paraId="08514448" w14:textId="77777777" w:rsidR="00170B66" w:rsidRPr="00CC03D5" w:rsidRDefault="00170B66" w:rsidP="000A162D">
            <w:pPr>
              <w:pStyle w:val="TableParagraph"/>
              <w:jc w:val="center"/>
              <w:rPr>
                <w:rFonts w:ascii="Arial" w:eastAsia="Arial" w:hAnsi="Arial" w:cs="Arial"/>
                <w:sz w:val="16"/>
                <w:szCs w:val="16"/>
                <w:lang w:val="cs-CZ"/>
              </w:rPr>
            </w:pPr>
            <w:r w:rsidRPr="00CC03D5">
              <w:rPr>
                <w:rFonts w:ascii="Arial" w:eastAsia="Arial" w:hAnsi="Arial" w:cs="Arial"/>
                <w:spacing w:val="-1"/>
                <w:sz w:val="16"/>
                <w:szCs w:val="16"/>
                <w:lang w:val="cs-CZ"/>
              </w:rPr>
              <w:t>23</w:t>
            </w:r>
            <w:r w:rsidRPr="00CC03D5">
              <w:rPr>
                <w:rFonts w:ascii="Arial" w:eastAsia="Arial" w:hAnsi="Arial" w:cs="Arial"/>
                <w:sz w:val="16"/>
                <w:szCs w:val="16"/>
                <w:lang w:val="cs-CZ"/>
              </w:rPr>
              <w:t>/</w:t>
            </w:r>
            <w:r w:rsidRPr="00CC03D5">
              <w:rPr>
                <w:rFonts w:ascii="Arial" w:eastAsia="Arial" w:hAnsi="Arial" w:cs="Arial"/>
                <w:spacing w:val="-1"/>
                <w:sz w:val="16"/>
                <w:szCs w:val="16"/>
                <w:lang w:val="cs-CZ"/>
              </w:rPr>
              <w:t>201</w:t>
            </w:r>
            <w:r w:rsidRPr="00CC03D5">
              <w:rPr>
                <w:rFonts w:ascii="Arial" w:eastAsia="Arial" w:hAnsi="Arial" w:cs="Arial"/>
                <w:sz w:val="16"/>
                <w:szCs w:val="16"/>
                <w:lang w:val="cs-CZ"/>
              </w:rPr>
              <w:t>1 S</w:t>
            </w:r>
            <w:r w:rsidRPr="00CC03D5">
              <w:rPr>
                <w:rFonts w:ascii="Arial" w:eastAsia="Arial" w:hAnsi="Arial" w:cs="Arial"/>
                <w:spacing w:val="-1"/>
                <w:sz w:val="16"/>
                <w:szCs w:val="16"/>
                <w:lang w:val="cs-CZ"/>
              </w:rPr>
              <w:t>b.</w:t>
            </w:r>
          </w:p>
        </w:tc>
        <w:tc>
          <w:tcPr>
            <w:tcW w:w="2694" w:type="dxa"/>
            <w:tcBorders>
              <w:bottom w:val="single" w:sz="4" w:space="0" w:color="auto"/>
            </w:tcBorders>
            <w:shd w:val="clear" w:color="auto" w:fill="D9D9D9" w:themeFill="background1" w:themeFillShade="D9"/>
            <w:vAlign w:val="center"/>
          </w:tcPr>
          <w:p w14:paraId="30B54411" w14:textId="77777777" w:rsidR="00170B66" w:rsidRPr="00CC03D5" w:rsidRDefault="00170B66" w:rsidP="000A162D">
            <w:pPr>
              <w:pStyle w:val="TableParagraph"/>
              <w:jc w:val="center"/>
              <w:rPr>
                <w:rFonts w:ascii="Arial" w:eastAsia="Calibri" w:hAnsi="Arial" w:cs="Arial"/>
                <w:sz w:val="16"/>
                <w:szCs w:val="16"/>
                <w:lang w:val="cs-CZ"/>
              </w:rPr>
            </w:pPr>
            <w:r w:rsidRPr="00CC03D5">
              <w:rPr>
                <w:rFonts w:ascii="Arial" w:hAnsi="Arial" w:cs="Arial"/>
                <w:spacing w:val="-1"/>
                <w:sz w:val="16"/>
                <w:szCs w:val="16"/>
                <w:lang w:val="cs-CZ"/>
              </w:rPr>
              <w:t>FGG Elbe 2013 / IKSE 2014</w:t>
            </w:r>
          </w:p>
        </w:tc>
        <w:tc>
          <w:tcPr>
            <w:tcW w:w="850" w:type="dxa"/>
            <w:tcBorders>
              <w:bottom w:val="single" w:sz="4" w:space="0" w:color="auto"/>
            </w:tcBorders>
            <w:shd w:val="clear" w:color="auto" w:fill="D9D9D9" w:themeFill="background1" w:themeFillShade="D9"/>
            <w:vAlign w:val="center"/>
          </w:tcPr>
          <w:p w14:paraId="350105B6" w14:textId="77777777" w:rsidR="00170B66" w:rsidRPr="00CC03D5" w:rsidRDefault="00170B66" w:rsidP="000A162D">
            <w:pPr>
              <w:pStyle w:val="TableParagraph"/>
              <w:jc w:val="center"/>
              <w:rPr>
                <w:rFonts w:ascii="Arial" w:eastAsia="Arial" w:hAnsi="Arial" w:cs="Arial"/>
                <w:sz w:val="16"/>
                <w:szCs w:val="16"/>
                <w:lang w:val="cs-CZ"/>
              </w:rPr>
            </w:pPr>
            <w:r w:rsidRPr="00CC03D5">
              <w:rPr>
                <w:rFonts w:ascii="Arial" w:eastAsia="Arial" w:hAnsi="Arial" w:cs="Arial"/>
                <w:b/>
                <w:bCs/>
                <w:spacing w:val="-1"/>
                <w:sz w:val="16"/>
                <w:szCs w:val="16"/>
                <w:lang w:val="cs-CZ"/>
              </w:rPr>
              <w:t>0</w:t>
            </w:r>
            <w:r w:rsidRPr="00CC03D5">
              <w:rPr>
                <w:rFonts w:ascii="Arial" w:eastAsia="Arial" w:hAnsi="Arial" w:cs="Arial"/>
                <w:b/>
                <w:bCs/>
                <w:sz w:val="16"/>
                <w:szCs w:val="16"/>
                <w:lang w:val="cs-CZ"/>
              </w:rPr>
              <w:t>,</w:t>
            </w:r>
            <w:r w:rsidRPr="00CC03D5">
              <w:rPr>
                <w:rFonts w:ascii="Arial" w:eastAsia="Arial" w:hAnsi="Arial" w:cs="Arial"/>
                <w:b/>
                <w:bCs/>
                <w:spacing w:val="-1"/>
                <w:sz w:val="16"/>
                <w:szCs w:val="16"/>
                <w:lang w:val="cs-CZ"/>
              </w:rPr>
              <w:t>02</w:t>
            </w:r>
          </w:p>
        </w:tc>
        <w:tc>
          <w:tcPr>
            <w:tcW w:w="709" w:type="dxa"/>
            <w:tcBorders>
              <w:bottom w:val="single" w:sz="4" w:space="0" w:color="auto"/>
            </w:tcBorders>
            <w:shd w:val="clear" w:color="auto" w:fill="D9D9D9" w:themeFill="background1" w:themeFillShade="D9"/>
            <w:vAlign w:val="center"/>
          </w:tcPr>
          <w:p w14:paraId="0344E02D" w14:textId="77777777" w:rsidR="00170B66" w:rsidRPr="00CC03D5" w:rsidRDefault="00A95C56" w:rsidP="00AF1716">
            <w:pPr>
              <w:pStyle w:val="TableParagraph"/>
              <w:jc w:val="center"/>
              <w:rPr>
                <w:rFonts w:ascii="Arial" w:eastAsia="Arial" w:hAnsi="Arial" w:cs="Arial"/>
                <w:b/>
                <w:spacing w:val="-1"/>
                <w:sz w:val="16"/>
                <w:szCs w:val="16"/>
                <w:lang w:val="cs-CZ"/>
              </w:rPr>
            </w:pPr>
            <w:r>
              <w:rPr>
                <w:rFonts w:ascii="Arial" w:eastAsia="Arial" w:hAnsi="Arial" w:cs="Arial"/>
                <w:b/>
                <w:spacing w:val="-1"/>
                <w:sz w:val="16"/>
                <w:szCs w:val="16"/>
                <w:lang w:val="cs-CZ"/>
              </w:rPr>
              <w:t>20</w:t>
            </w:r>
          </w:p>
        </w:tc>
        <w:tc>
          <w:tcPr>
            <w:tcW w:w="1559" w:type="dxa"/>
            <w:tcBorders>
              <w:bottom w:val="single" w:sz="4" w:space="0" w:color="auto"/>
            </w:tcBorders>
            <w:shd w:val="clear" w:color="auto" w:fill="D9D9D9" w:themeFill="background1" w:themeFillShade="D9"/>
            <w:vAlign w:val="center"/>
          </w:tcPr>
          <w:p w14:paraId="0458D5A6" w14:textId="77777777" w:rsidR="00170B66" w:rsidRPr="00CC03D5" w:rsidRDefault="00170B66" w:rsidP="000A162D">
            <w:pPr>
              <w:pStyle w:val="TableParagraph"/>
              <w:jc w:val="center"/>
              <w:rPr>
                <w:rFonts w:ascii="Arial" w:eastAsia="Arial" w:hAnsi="Arial" w:cs="Arial"/>
                <w:sz w:val="16"/>
                <w:szCs w:val="16"/>
                <w:lang w:val="cs-CZ"/>
              </w:rPr>
            </w:pPr>
            <w:r w:rsidRPr="00CC03D5">
              <w:rPr>
                <w:rFonts w:ascii="Arial" w:eastAsia="Arial" w:hAnsi="Arial" w:cs="Arial"/>
                <w:spacing w:val="-1"/>
                <w:sz w:val="16"/>
                <w:szCs w:val="16"/>
                <w:lang w:val="cs-CZ"/>
              </w:rPr>
              <w:t>23</w:t>
            </w:r>
            <w:r w:rsidRPr="00CC03D5">
              <w:rPr>
                <w:rFonts w:ascii="Arial" w:eastAsia="Arial" w:hAnsi="Arial" w:cs="Arial"/>
                <w:sz w:val="16"/>
                <w:szCs w:val="16"/>
                <w:lang w:val="cs-CZ"/>
              </w:rPr>
              <w:t>/</w:t>
            </w:r>
            <w:r w:rsidRPr="00CC03D5">
              <w:rPr>
                <w:rFonts w:ascii="Arial" w:eastAsia="Arial" w:hAnsi="Arial" w:cs="Arial"/>
                <w:spacing w:val="-1"/>
                <w:sz w:val="16"/>
                <w:szCs w:val="16"/>
                <w:lang w:val="cs-CZ"/>
              </w:rPr>
              <w:t>201</w:t>
            </w:r>
            <w:r w:rsidRPr="00CC03D5">
              <w:rPr>
                <w:rFonts w:ascii="Arial" w:eastAsia="Arial" w:hAnsi="Arial" w:cs="Arial"/>
                <w:sz w:val="16"/>
                <w:szCs w:val="16"/>
                <w:lang w:val="cs-CZ"/>
              </w:rPr>
              <w:t>1 S</w:t>
            </w:r>
            <w:r w:rsidRPr="00CC03D5">
              <w:rPr>
                <w:rFonts w:ascii="Arial" w:eastAsia="Arial" w:hAnsi="Arial" w:cs="Arial"/>
                <w:spacing w:val="-1"/>
                <w:sz w:val="16"/>
                <w:szCs w:val="16"/>
                <w:lang w:val="cs-CZ"/>
              </w:rPr>
              <w:t>b.</w:t>
            </w:r>
          </w:p>
        </w:tc>
        <w:tc>
          <w:tcPr>
            <w:tcW w:w="2552" w:type="dxa"/>
            <w:tcBorders>
              <w:bottom w:val="single" w:sz="4" w:space="0" w:color="auto"/>
            </w:tcBorders>
            <w:shd w:val="clear" w:color="auto" w:fill="D9D9D9" w:themeFill="background1" w:themeFillShade="D9"/>
            <w:vAlign w:val="center"/>
          </w:tcPr>
          <w:p w14:paraId="5F08F6BB" w14:textId="77777777" w:rsidR="00170B66" w:rsidRPr="00CC03D5" w:rsidRDefault="00170B66" w:rsidP="00AF1716">
            <w:pPr>
              <w:pStyle w:val="TableParagraph"/>
              <w:jc w:val="center"/>
              <w:rPr>
                <w:rFonts w:ascii="Arial" w:eastAsia="Calibri" w:hAnsi="Arial" w:cs="Arial"/>
                <w:sz w:val="16"/>
                <w:szCs w:val="16"/>
                <w:lang w:val="cs-CZ"/>
              </w:rPr>
            </w:pPr>
            <w:r w:rsidRPr="00CC03D5">
              <w:rPr>
                <w:rFonts w:ascii="Arial" w:hAnsi="Arial" w:cs="Arial"/>
                <w:spacing w:val="-1"/>
                <w:sz w:val="16"/>
                <w:szCs w:val="16"/>
                <w:lang w:val="cs-CZ"/>
              </w:rPr>
              <w:t>FGG Elbe 2016</w:t>
            </w:r>
            <w:r w:rsidR="006310D8">
              <w:rPr>
                <w:rFonts w:ascii="Arial" w:hAnsi="Arial" w:cs="Arial"/>
                <w:spacing w:val="-1"/>
                <w:sz w:val="16"/>
                <w:szCs w:val="16"/>
                <w:lang w:val="cs-CZ"/>
              </w:rPr>
              <w:t xml:space="preserve"> </w:t>
            </w:r>
            <w:r w:rsidR="00EF2C7A" w:rsidRPr="006310D8">
              <w:rPr>
                <w:rFonts w:ascii="Arial" w:hAnsi="Arial" w:cs="Arial"/>
                <w:spacing w:val="-1"/>
                <w:sz w:val="16"/>
                <w:szCs w:val="16"/>
                <w:vertAlign w:val="superscript"/>
                <w:lang w:val="cs-CZ"/>
              </w:rPr>
              <w:t>3)</w:t>
            </w:r>
            <w:r w:rsidRPr="00CC03D5">
              <w:rPr>
                <w:rFonts w:ascii="Arial" w:hAnsi="Arial" w:cs="Arial"/>
                <w:spacing w:val="-1"/>
                <w:sz w:val="16"/>
                <w:szCs w:val="16"/>
                <w:lang w:val="cs-CZ"/>
              </w:rPr>
              <w:t xml:space="preserve"> / IKSE 2018</w:t>
            </w:r>
          </w:p>
        </w:tc>
      </w:tr>
      <w:tr w:rsidR="00170B66" w:rsidRPr="00CC03D5" w14:paraId="5929FF2F" w14:textId="77777777" w:rsidTr="00733615">
        <w:trPr>
          <w:cantSplit/>
        </w:trPr>
        <w:tc>
          <w:tcPr>
            <w:tcW w:w="0" w:type="auto"/>
            <w:vAlign w:val="center"/>
          </w:tcPr>
          <w:p w14:paraId="50654359" w14:textId="77777777" w:rsidR="00170B66" w:rsidRPr="00CC03D5" w:rsidRDefault="00170B66" w:rsidP="000A162D">
            <w:pPr>
              <w:pStyle w:val="TableParagraph"/>
              <w:jc w:val="center"/>
              <w:rPr>
                <w:rFonts w:ascii="Arial" w:eastAsia="Arial" w:hAnsi="Arial" w:cs="Arial"/>
                <w:sz w:val="16"/>
                <w:szCs w:val="16"/>
                <w:lang w:val="cs-CZ"/>
              </w:rPr>
            </w:pPr>
            <w:r w:rsidRPr="00CC03D5">
              <w:rPr>
                <w:rFonts w:ascii="Arial" w:eastAsia="Arial" w:hAnsi="Arial" w:cs="Arial"/>
                <w:b/>
                <w:bCs/>
                <w:spacing w:val="-1"/>
                <w:sz w:val="16"/>
                <w:szCs w:val="16"/>
                <w:lang w:val="cs-CZ"/>
              </w:rPr>
              <w:t>29</w:t>
            </w:r>
          </w:p>
        </w:tc>
        <w:tc>
          <w:tcPr>
            <w:tcW w:w="1168" w:type="dxa"/>
            <w:vAlign w:val="center"/>
          </w:tcPr>
          <w:p w14:paraId="57D5842C" w14:textId="77777777" w:rsidR="00170B66" w:rsidRPr="00CC03D5" w:rsidRDefault="00170B66" w:rsidP="000A162D">
            <w:pPr>
              <w:pStyle w:val="TableParagraph"/>
              <w:rPr>
                <w:rFonts w:ascii="Arial" w:eastAsia="Arial" w:hAnsi="Arial" w:cs="Arial"/>
                <w:sz w:val="16"/>
                <w:szCs w:val="16"/>
                <w:lang w:val="cs-CZ"/>
              </w:rPr>
            </w:pPr>
            <w:r w:rsidRPr="00CC03D5">
              <w:rPr>
                <w:rFonts w:ascii="Arial" w:eastAsia="Arial" w:hAnsi="Arial" w:cs="Arial"/>
                <w:b/>
                <w:bCs/>
                <w:sz w:val="16"/>
                <w:szCs w:val="16"/>
                <w:lang w:val="cs-CZ"/>
              </w:rPr>
              <w:t>P</w:t>
            </w:r>
            <w:r w:rsidRPr="00CC03D5">
              <w:rPr>
                <w:rFonts w:ascii="Arial" w:eastAsia="Arial" w:hAnsi="Arial" w:cs="Arial"/>
                <w:b/>
                <w:bCs/>
                <w:spacing w:val="-1"/>
                <w:sz w:val="16"/>
                <w:szCs w:val="16"/>
                <w:lang w:val="cs-CZ"/>
              </w:rPr>
              <w:t>CDD</w:t>
            </w:r>
            <w:r w:rsidRPr="00CC03D5">
              <w:rPr>
                <w:rFonts w:ascii="Arial" w:eastAsia="Arial" w:hAnsi="Arial" w:cs="Arial"/>
                <w:b/>
                <w:bCs/>
                <w:sz w:val="16"/>
                <w:szCs w:val="16"/>
                <w:lang w:val="cs-CZ"/>
              </w:rPr>
              <w:t>/F</w:t>
            </w:r>
          </w:p>
        </w:tc>
        <w:tc>
          <w:tcPr>
            <w:tcW w:w="828" w:type="dxa"/>
            <w:vAlign w:val="center"/>
          </w:tcPr>
          <w:p w14:paraId="353C79D5" w14:textId="77777777" w:rsidR="00170B66" w:rsidRPr="00CC03D5" w:rsidRDefault="00170B66" w:rsidP="000A162D">
            <w:pPr>
              <w:pStyle w:val="TableParagraph"/>
              <w:spacing w:line="182" w:lineRule="exact"/>
              <w:jc w:val="center"/>
              <w:rPr>
                <w:rFonts w:ascii="Arial" w:eastAsia="Arial" w:hAnsi="Arial" w:cs="Arial"/>
                <w:sz w:val="16"/>
                <w:szCs w:val="16"/>
                <w:lang w:val="cs-CZ"/>
              </w:rPr>
            </w:pPr>
            <w:proofErr w:type="spellStart"/>
            <w:r w:rsidRPr="00CC03D5">
              <w:rPr>
                <w:rFonts w:ascii="Arial" w:eastAsia="Arial" w:hAnsi="Arial" w:cs="Arial"/>
                <w:b/>
                <w:bCs/>
                <w:sz w:val="16"/>
                <w:szCs w:val="16"/>
                <w:lang w:val="cs-CZ"/>
              </w:rPr>
              <w:t>ng</w:t>
            </w:r>
            <w:proofErr w:type="spellEnd"/>
            <w:r w:rsidRPr="00CC03D5">
              <w:rPr>
                <w:rFonts w:ascii="Arial" w:eastAsia="Arial" w:hAnsi="Arial" w:cs="Arial"/>
                <w:b/>
                <w:bCs/>
                <w:sz w:val="16"/>
                <w:szCs w:val="16"/>
                <w:lang w:val="cs-CZ"/>
              </w:rPr>
              <w:t xml:space="preserve"> </w:t>
            </w:r>
            <w:r w:rsidRPr="00CC03D5">
              <w:rPr>
                <w:rFonts w:ascii="Arial" w:eastAsia="Arial" w:hAnsi="Arial" w:cs="Arial"/>
                <w:b/>
                <w:bCs/>
                <w:spacing w:val="-3"/>
                <w:sz w:val="16"/>
                <w:szCs w:val="16"/>
                <w:lang w:val="cs-CZ"/>
              </w:rPr>
              <w:t>T</w:t>
            </w:r>
            <w:r w:rsidRPr="00CC03D5">
              <w:rPr>
                <w:rFonts w:ascii="Arial" w:eastAsia="Arial" w:hAnsi="Arial" w:cs="Arial"/>
                <w:b/>
                <w:bCs/>
                <w:sz w:val="16"/>
                <w:szCs w:val="16"/>
                <w:lang w:val="cs-CZ"/>
              </w:rPr>
              <w:t>E</w:t>
            </w:r>
            <w:r w:rsidRPr="00CC03D5">
              <w:rPr>
                <w:rFonts w:ascii="Arial" w:eastAsia="Arial" w:hAnsi="Arial" w:cs="Arial"/>
                <w:b/>
                <w:bCs/>
                <w:spacing w:val="-1"/>
                <w:sz w:val="16"/>
                <w:szCs w:val="16"/>
                <w:lang w:val="cs-CZ"/>
              </w:rPr>
              <w:t>Q</w:t>
            </w:r>
            <w:r w:rsidRPr="00CC03D5">
              <w:rPr>
                <w:rFonts w:ascii="Arial" w:eastAsia="Arial" w:hAnsi="Arial" w:cs="Arial"/>
                <w:b/>
                <w:bCs/>
                <w:sz w:val="16"/>
                <w:szCs w:val="16"/>
                <w:lang w:val="cs-CZ"/>
              </w:rPr>
              <w:t>/</w:t>
            </w:r>
            <w:r w:rsidRPr="00CC03D5">
              <w:rPr>
                <w:rFonts w:ascii="Arial" w:eastAsia="Arial" w:hAnsi="Arial" w:cs="Arial"/>
                <w:b/>
                <w:bCs/>
                <w:spacing w:val="-1"/>
                <w:sz w:val="16"/>
                <w:szCs w:val="16"/>
                <w:lang w:val="cs-CZ"/>
              </w:rPr>
              <w:t>k</w:t>
            </w:r>
            <w:r w:rsidRPr="00CC03D5">
              <w:rPr>
                <w:rFonts w:ascii="Arial" w:eastAsia="Arial" w:hAnsi="Arial" w:cs="Arial"/>
                <w:b/>
                <w:bCs/>
                <w:sz w:val="16"/>
                <w:szCs w:val="16"/>
                <w:lang w:val="cs-CZ"/>
              </w:rPr>
              <w:t>g</w:t>
            </w:r>
          </w:p>
        </w:tc>
        <w:tc>
          <w:tcPr>
            <w:tcW w:w="1480" w:type="dxa"/>
            <w:gridSpan w:val="2"/>
            <w:shd w:val="clear" w:color="auto" w:fill="CAFBA5"/>
            <w:vAlign w:val="center"/>
          </w:tcPr>
          <w:p w14:paraId="6C1A9ECB" w14:textId="77777777" w:rsidR="00170B66" w:rsidRPr="00CC03D5" w:rsidRDefault="00170B66" w:rsidP="000A162D">
            <w:pPr>
              <w:pStyle w:val="TableParagraph"/>
              <w:spacing w:line="182" w:lineRule="exact"/>
              <w:jc w:val="center"/>
              <w:rPr>
                <w:rFonts w:ascii="Arial" w:eastAsia="Arial" w:hAnsi="Arial" w:cs="Arial"/>
                <w:spacing w:val="-1"/>
                <w:sz w:val="16"/>
                <w:szCs w:val="16"/>
                <w:lang w:val="cs-CZ"/>
              </w:rPr>
            </w:pPr>
            <w:r w:rsidRPr="00CC03D5">
              <w:rPr>
                <w:rFonts w:ascii="Arial" w:eastAsia="Arial" w:hAnsi="Arial" w:cs="Arial"/>
                <w:b/>
                <w:bCs/>
                <w:sz w:val="16"/>
                <w:szCs w:val="16"/>
                <w:lang w:val="cs-CZ"/>
              </w:rPr>
              <w:t>5</w:t>
            </w:r>
          </w:p>
        </w:tc>
        <w:tc>
          <w:tcPr>
            <w:tcW w:w="1752" w:type="dxa"/>
            <w:shd w:val="clear" w:color="auto" w:fill="CAFBA5"/>
            <w:vAlign w:val="center"/>
          </w:tcPr>
          <w:p w14:paraId="544AB759" w14:textId="77777777" w:rsidR="00170B66" w:rsidRPr="00CC03D5" w:rsidRDefault="00733615" w:rsidP="000A162D">
            <w:pPr>
              <w:pStyle w:val="TableParagraph"/>
              <w:spacing w:line="182" w:lineRule="exact"/>
              <w:jc w:val="center"/>
              <w:rPr>
                <w:rFonts w:ascii="Arial" w:eastAsia="Arial" w:hAnsi="Arial" w:cs="Arial"/>
                <w:sz w:val="16"/>
                <w:szCs w:val="16"/>
                <w:lang w:val="cs-CZ"/>
              </w:rPr>
            </w:pPr>
            <w:r w:rsidRPr="00CC03D5">
              <w:rPr>
                <w:rFonts w:ascii="Arial" w:eastAsia="Arial" w:hAnsi="Arial" w:cs="Arial"/>
                <w:sz w:val="16"/>
                <w:szCs w:val="16"/>
                <w:lang w:val="cs-CZ"/>
              </w:rPr>
              <w:t xml:space="preserve">2. zpráva </w:t>
            </w:r>
            <w:proofErr w:type="spellStart"/>
            <w:r w:rsidRPr="00CC03D5">
              <w:rPr>
                <w:rFonts w:ascii="Arial" w:eastAsia="Arial" w:hAnsi="Arial" w:cs="Arial"/>
                <w:sz w:val="16"/>
                <w:szCs w:val="16"/>
                <w:lang w:val="cs-CZ"/>
              </w:rPr>
              <w:t>prac</w:t>
            </w:r>
            <w:proofErr w:type="spellEnd"/>
            <w:r w:rsidRPr="00CC03D5">
              <w:rPr>
                <w:rFonts w:ascii="Arial" w:eastAsia="Arial" w:hAnsi="Arial" w:cs="Arial"/>
                <w:sz w:val="16"/>
                <w:szCs w:val="16"/>
                <w:lang w:val="cs-CZ"/>
              </w:rPr>
              <w:t xml:space="preserve">. </w:t>
            </w:r>
            <w:proofErr w:type="gramStart"/>
            <w:r w:rsidRPr="00CC03D5">
              <w:rPr>
                <w:rFonts w:ascii="Arial" w:eastAsia="Arial" w:hAnsi="Arial" w:cs="Arial"/>
                <w:sz w:val="16"/>
                <w:szCs w:val="16"/>
                <w:lang w:val="cs-CZ"/>
              </w:rPr>
              <w:t>skup.</w:t>
            </w:r>
            <w:proofErr w:type="gramEnd"/>
            <w:r w:rsidRPr="00CC03D5">
              <w:rPr>
                <w:rFonts w:ascii="Arial" w:eastAsia="Arial" w:hAnsi="Arial" w:cs="Arial"/>
                <w:sz w:val="16"/>
                <w:szCs w:val="16"/>
                <w:lang w:val="cs-CZ"/>
              </w:rPr>
              <w:t xml:space="preserve"> zástupců spolkových a zemských orgánů (</w:t>
            </w:r>
            <w:proofErr w:type="spellStart"/>
            <w:r w:rsidRPr="00CC03D5">
              <w:rPr>
                <w:rFonts w:ascii="Arial" w:eastAsia="Arial" w:hAnsi="Arial" w:cs="Arial"/>
                <w:sz w:val="16"/>
                <w:szCs w:val="16"/>
                <w:lang w:val="cs-CZ"/>
              </w:rPr>
              <w:t>BLAg</w:t>
            </w:r>
            <w:proofErr w:type="spellEnd"/>
            <w:r w:rsidRPr="00CC03D5">
              <w:rPr>
                <w:rFonts w:ascii="Arial" w:eastAsia="Arial" w:hAnsi="Arial" w:cs="Arial"/>
                <w:sz w:val="16"/>
                <w:szCs w:val="16"/>
                <w:lang w:val="cs-CZ"/>
              </w:rPr>
              <w:t>) „Dioxiny“ 1993</w:t>
            </w:r>
          </w:p>
        </w:tc>
        <w:tc>
          <w:tcPr>
            <w:tcW w:w="2694" w:type="dxa"/>
            <w:shd w:val="clear" w:color="auto" w:fill="CAFBA5"/>
            <w:vAlign w:val="center"/>
          </w:tcPr>
          <w:p w14:paraId="5168B6DC" w14:textId="77777777" w:rsidR="00170B66" w:rsidRPr="00CC03D5" w:rsidRDefault="00170B66" w:rsidP="000A162D">
            <w:pPr>
              <w:pStyle w:val="TableParagraph"/>
              <w:jc w:val="center"/>
              <w:rPr>
                <w:rFonts w:ascii="Arial" w:eastAsia="Calibri" w:hAnsi="Arial" w:cs="Arial"/>
                <w:sz w:val="16"/>
                <w:szCs w:val="16"/>
                <w:lang w:val="cs-CZ"/>
              </w:rPr>
            </w:pPr>
            <w:r w:rsidRPr="00CC03D5">
              <w:rPr>
                <w:rFonts w:ascii="Arial" w:hAnsi="Arial" w:cs="Arial"/>
                <w:spacing w:val="-1"/>
                <w:sz w:val="16"/>
                <w:szCs w:val="16"/>
                <w:lang w:val="cs-CZ"/>
              </w:rPr>
              <w:t>FGG Elbe 2013 / IKSE 2014</w:t>
            </w:r>
          </w:p>
        </w:tc>
        <w:tc>
          <w:tcPr>
            <w:tcW w:w="1559" w:type="dxa"/>
            <w:gridSpan w:val="2"/>
            <w:shd w:val="clear" w:color="auto" w:fill="F7CAAC" w:themeFill="accent2" w:themeFillTint="66"/>
            <w:vAlign w:val="center"/>
          </w:tcPr>
          <w:p w14:paraId="393BF47B" w14:textId="77777777" w:rsidR="00170B66" w:rsidRPr="00CC03D5" w:rsidRDefault="00170B66" w:rsidP="000A162D">
            <w:pPr>
              <w:pStyle w:val="TableParagraph"/>
              <w:jc w:val="center"/>
              <w:rPr>
                <w:rFonts w:ascii="Arial" w:eastAsia="Arial" w:hAnsi="Arial" w:cs="Arial"/>
                <w:sz w:val="16"/>
                <w:szCs w:val="16"/>
                <w:lang w:val="cs-CZ"/>
              </w:rPr>
            </w:pPr>
            <w:r w:rsidRPr="00CC03D5">
              <w:rPr>
                <w:rFonts w:ascii="Arial" w:eastAsia="Arial" w:hAnsi="Arial" w:cs="Arial"/>
                <w:b/>
                <w:bCs/>
                <w:spacing w:val="-1"/>
                <w:sz w:val="16"/>
                <w:szCs w:val="16"/>
                <w:lang w:val="cs-CZ"/>
              </w:rPr>
              <w:t>20</w:t>
            </w:r>
          </w:p>
        </w:tc>
        <w:tc>
          <w:tcPr>
            <w:tcW w:w="1559" w:type="dxa"/>
            <w:shd w:val="clear" w:color="auto" w:fill="F7CAAC" w:themeFill="accent2" w:themeFillTint="66"/>
            <w:vAlign w:val="center"/>
          </w:tcPr>
          <w:p w14:paraId="4C1EF55D" w14:textId="77777777" w:rsidR="00170B66" w:rsidRPr="00CC03D5" w:rsidRDefault="00170B66" w:rsidP="000A162D">
            <w:pPr>
              <w:pStyle w:val="TableParagraph"/>
              <w:jc w:val="center"/>
              <w:rPr>
                <w:rFonts w:ascii="Arial" w:eastAsia="Arial" w:hAnsi="Arial" w:cs="Arial"/>
                <w:sz w:val="16"/>
                <w:szCs w:val="16"/>
                <w:lang w:val="cs-CZ"/>
              </w:rPr>
            </w:pPr>
            <w:proofErr w:type="spellStart"/>
            <w:r w:rsidRPr="00CC03D5">
              <w:rPr>
                <w:rFonts w:ascii="Arial" w:eastAsia="Arial" w:hAnsi="Arial" w:cs="Arial"/>
                <w:sz w:val="16"/>
                <w:szCs w:val="16"/>
                <w:lang w:val="cs-CZ"/>
              </w:rPr>
              <w:t>S</w:t>
            </w:r>
            <w:r w:rsidRPr="00CC03D5">
              <w:rPr>
                <w:rFonts w:ascii="Arial" w:eastAsia="Arial" w:hAnsi="Arial" w:cs="Arial"/>
                <w:spacing w:val="-1"/>
                <w:sz w:val="16"/>
                <w:szCs w:val="16"/>
                <w:lang w:val="cs-CZ"/>
              </w:rPr>
              <w:t>a</w:t>
            </w:r>
            <w:r w:rsidRPr="00CC03D5">
              <w:rPr>
                <w:rFonts w:ascii="Arial" w:eastAsia="Arial" w:hAnsi="Arial" w:cs="Arial"/>
                <w:sz w:val="16"/>
                <w:szCs w:val="16"/>
                <w:lang w:val="cs-CZ"/>
              </w:rPr>
              <w:t>fe</w:t>
            </w:r>
            <w:proofErr w:type="spellEnd"/>
            <w:r w:rsidRPr="00CC03D5">
              <w:rPr>
                <w:rFonts w:ascii="Arial" w:eastAsia="Arial" w:hAnsi="Arial" w:cs="Arial"/>
                <w:spacing w:val="-2"/>
                <w:sz w:val="16"/>
                <w:szCs w:val="16"/>
                <w:lang w:val="cs-CZ"/>
              </w:rPr>
              <w:t xml:space="preserve"> </w:t>
            </w:r>
            <w:r w:rsidRPr="00CC03D5">
              <w:rPr>
                <w:rFonts w:ascii="Arial" w:eastAsia="Arial" w:hAnsi="Arial" w:cs="Arial"/>
                <w:sz w:val="16"/>
                <w:szCs w:val="16"/>
                <w:lang w:val="cs-CZ"/>
              </w:rPr>
              <w:t>S</w:t>
            </w:r>
            <w:r w:rsidRPr="00CC03D5">
              <w:rPr>
                <w:rFonts w:ascii="Arial" w:eastAsia="Arial" w:hAnsi="Arial" w:cs="Arial"/>
                <w:spacing w:val="-1"/>
                <w:sz w:val="16"/>
                <w:szCs w:val="16"/>
                <w:lang w:val="cs-CZ"/>
              </w:rPr>
              <w:t>e</w:t>
            </w:r>
            <w:r w:rsidRPr="00CC03D5">
              <w:rPr>
                <w:rFonts w:ascii="Arial" w:eastAsia="Arial" w:hAnsi="Arial" w:cs="Arial"/>
                <w:sz w:val="16"/>
                <w:szCs w:val="16"/>
                <w:lang w:val="cs-CZ"/>
              </w:rPr>
              <w:t>d</w:t>
            </w:r>
            <w:r w:rsidRPr="00CC03D5">
              <w:rPr>
                <w:rFonts w:ascii="Arial" w:eastAsia="Arial" w:hAnsi="Arial" w:cs="Arial"/>
                <w:spacing w:val="-2"/>
                <w:sz w:val="16"/>
                <w:szCs w:val="16"/>
                <w:lang w:val="cs-CZ"/>
              </w:rPr>
              <w:t xml:space="preserve"> </w:t>
            </w:r>
            <w:proofErr w:type="spellStart"/>
            <w:r w:rsidRPr="00CC03D5">
              <w:rPr>
                <w:rFonts w:ascii="Arial" w:eastAsia="Arial" w:hAnsi="Arial" w:cs="Arial"/>
                <w:sz w:val="16"/>
                <w:szCs w:val="16"/>
                <w:lang w:val="cs-CZ"/>
              </w:rPr>
              <w:t>V</w:t>
            </w:r>
            <w:r w:rsidRPr="00CC03D5">
              <w:rPr>
                <w:rFonts w:ascii="Arial" w:eastAsia="Arial" w:hAnsi="Arial" w:cs="Arial"/>
                <w:spacing w:val="-1"/>
                <w:sz w:val="16"/>
                <w:szCs w:val="16"/>
                <w:lang w:val="cs-CZ"/>
              </w:rPr>
              <w:t>a</w:t>
            </w:r>
            <w:r w:rsidRPr="00CC03D5">
              <w:rPr>
                <w:rFonts w:ascii="Arial" w:eastAsia="Arial" w:hAnsi="Arial" w:cs="Arial"/>
                <w:sz w:val="16"/>
                <w:szCs w:val="16"/>
                <w:lang w:val="cs-CZ"/>
              </w:rPr>
              <w:t>l</w:t>
            </w:r>
            <w:r w:rsidRPr="00CC03D5">
              <w:rPr>
                <w:rFonts w:ascii="Arial" w:eastAsia="Arial" w:hAnsi="Arial" w:cs="Arial"/>
                <w:spacing w:val="-1"/>
                <w:sz w:val="16"/>
                <w:szCs w:val="16"/>
                <w:lang w:val="cs-CZ"/>
              </w:rPr>
              <w:t>ue</w:t>
            </w:r>
            <w:proofErr w:type="spellEnd"/>
          </w:p>
        </w:tc>
        <w:tc>
          <w:tcPr>
            <w:tcW w:w="2552" w:type="dxa"/>
            <w:shd w:val="clear" w:color="auto" w:fill="F7CAAC" w:themeFill="accent2" w:themeFillTint="66"/>
            <w:vAlign w:val="center"/>
          </w:tcPr>
          <w:p w14:paraId="5AB7D317" w14:textId="77777777" w:rsidR="00170B66" w:rsidRPr="00CC03D5" w:rsidRDefault="00170B66" w:rsidP="000A162D">
            <w:pPr>
              <w:pStyle w:val="TableParagraph"/>
              <w:jc w:val="center"/>
              <w:rPr>
                <w:rFonts w:ascii="Arial" w:eastAsia="Calibri" w:hAnsi="Arial" w:cs="Arial"/>
                <w:sz w:val="16"/>
                <w:szCs w:val="16"/>
                <w:lang w:val="cs-CZ"/>
              </w:rPr>
            </w:pPr>
            <w:r w:rsidRPr="00CC03D5">
              <w:rPr>
                <w:rFonts w:ascii="Arial" w:hAnsi="Arial" w:cs="Arial"/>
                <w:spacing w:val="-1"/>
                <w:sz w:val="16"/>
                <w:szCs w:val="16"/>
                <w:lang w:val="cs-CZ"/>
              </w:rPr>
              <w:t>FGG Elbe 2013 / IKSE 2014</w:t>
            </w:r>
          </w:p>
        </w:tc>
      </w:tr>
    </w:tbl>
    <w:p w14:paraId="3B2F8225" w14:textId="77777777" w:rsidR="008D4678" w:rsidRPr="00BC75A0" w:rsidRDefault="001F3BC6" w:rsidP="00BC75A0">
      <w:pPr>
        <w:ind w:left="284" w:hanging="284"/>
        <w:rPr>
          <w:sz w:val="16"/>
          <w:szCs w:val="16"/>
        </w:rPr>
      </w:pPr>
      <w:r w:rsidRPr="00BC75A0">
        <w:rPr>
          <w:sz w:val="16"/>
          <w:szCs w:val="16"/>
          <w:vertAlign w:val="superscript"/>
        </w:rPr>
        <w:t>1)</w:t>
      </w:r>
      <w:r>
        <w:rPr>
          <w:sz w:val="16"/>
          <w:szCs w:val="16"/>
        </w:rPr>
        <w:tab/>
        <w:t xml:space="preserve">Sumární ukazatel </w:t>
      </w:r>
      <w:r>
        <w:rPr>
          <w:rFonts w:cs="Arial"/>
          <w:sz w:val="16"/>
          <w:szCs w:val="16"/>
        </w:rPr>
        <w:t>∑</w:t>
      </w:r>
      <w:r>
        <w:rPr>
          <w:sz w:val="16"/>
          <w:szCs w:val="16"/>
        </w:rPr>
        <w:t xml:space="preserve"> 7 PCB bude využíván pro vyhodnocení indexu kvality sedimentů (SQI), který představuje míru překročení HPH </w:t>
      </w:r>
      <w:r w:rsidR="00AF1716">
        <w:rPr>
          <w:sz w:val="16"/>
          <w:szCs w:val="16"/>
        </w:rPr>
        <w:t>ročním p</w:t>
      </w:r>
      <w:r>
        <w:rPr>
          <w:sz w:val="16"/>
          <w:szCs w:val="16"/>
        </w:rPr>
        <w:t>růměr</w:t>
      </w:r>
      <w:r w:rsidR="00AF1716">
        <w:rPr>
          <w:sz w:val="16"/>
          <w:szCs w:val="16"/>
        </w:rPr>
        <w:t xml:space="preserve">em z měsíčních směsných vzorků čerstvých </w:t>
      </w:r>
      <w:proofErr w:type="spellStart"/>
      <w:r w:rsidR="00AF1716">
        <w:rPr>
          <w:sz w:val="16"/>
          <w:szCs w:val="16"/>
        </w:rPr>
        <w:t>sedimentovatelných</w:t>
      </w:r>
      <w:proofErr w:type="spellEnd"/>
      <w:r w:rsidR="00AF1716">
        <w:rPr>
          <w:sz w:val="16"/>
          <w:szCs w:val="16"/>
        </w:rPr>
        <w:t xml:space="preserve"> plavenin.</w:t>
      </w:r>
      <w:r>
        <w:rPr>
          <w:sz w:val="16"/>
          <w:szCs w:val="16"/>
        </w:rPr>
        <w:t xml:space="preserve"> </w:t>
      </w:r>
      <w:r w:rsidR="00235193">
        <w:rPr>
          <w:sz w:val="16"/>
          <w:szCs w:val="16"/>
        </w:rPr>
        <w:t>U</w:t>
      </w:r>
      <w:r>
        <w:rPr>
          <w:sz w:val="16"/>
          <w:szCs w:val="16"/>
        </w:rPr>
        <w:t xml:space="preserve"> </w:t>
      </w:r>
      <w:r w:rsidR="00BC75A0">
        <w:rPr>
          <w:sz w:val="16"/>
          <w:szCs w:val="16"/>
        </w:rPr>
        <w:t>sumární</w:t>
      </w:r>
      <w:r w:rsidR="00235193">
        <w:rPr>
          <w:sz w:val="16"/>
          <w:szCs w:val="16"/>
        </w:rPr>
        <w:t>ho</w:t>
      </w:r>
      <w:r w:rsidR="00BC75A0">
        <w:rPr>
          <w:sz w:val="16"/>
          <w:szCs w:val="16"/>
        </w:rPr>
        <w:t xml:space="preserve"> </w:t>
      </w:r>
      <w:r w:rsidR="00BC75A0" w:rsidRPr="00DC4E84">
        <w:rPr>
          <w:sz w:val="16"/>
          <w:szCs w:val="16"/>
        </w:rPr>
        <w:t>ukazatel</w:t>
      </w:r>
      <w:r w:rsidR="00235193">
        <w:rPr>
          <w:sz w:val="16"/>
          <w:szCs w:val="16"/>
        </w:rPr>
        <w:t>e</w:t>
      </w:r>
      <w:r w:rsidR="00BC75A0" w:rsidRPr="00DC4E84">
        <w:rPr>
          <w:sz w:val="16"/>
          <w:szCs w:val="16"/>
        </w:rPr>
        <w:t xml:space="preserve"> </w:t>
      </w:r>
      <w:r w:rsidR="00BC75A0" w:rsidRPr="00DC4E84">
        <w:rPr>
          <w:rFonts w:cs="Arial"/>
          <w:sz w:val="16"/>
          <w:szCs w:val="16"/>
        </w:rPr>
        <w:t>∑</w:t>
      </w:r>
      <w:r w:rsidR="00BC75A0" w:rsidRPr="00DC4E84">
        <w:rPr>
          <w:sz w:val="16"/>
          <w:szCs w:val="16"/>
        </w:rPr>
        <w:t xml:space="preserve"> 7 PCB </w:t>
      </w:r>
      <w:r>
        <w:rPr>
          <w:sz w:val="16"/>
          <w:szCs w:val="16"/>
        </w:rPr>
        <w:t xml:space="preserve">je </w:t>
      </w:r>
      <w:r w:rsidR="00235193">
        <w:rPr>
          <w:sz w:val="16"/>
          <w:szCs w:val="16"/>
        </w:rPr>
        <w:t xml:space="preserve">pro tento účel </w:t>
      </w:r>
      <w:r>
        <w:rPr>
          <w:sz w:val="16"/>
          <w:szCs w:val="16"/>
        </w:rPr>
        <w:t xml:space="preserve">brána suma HPH zde uvedených sedmi </w:t>
      </w:r>
      <w:proofErr w:type="spellStart"/>
      <w:r>
        <w:rPr>
          <w:sz w:val="16"/>
          <w:szCs w:val="16"/>
        </w:rPr>
        <w:t>kongenerů</w:t>
      </w:r>
      <w:proofErr w:type="spellEnd"/>
      <w:r>
        <w:rPr>
          <w:sz w:val="16"/>
          <w:szCs w:val="16"/>
        </w:rPr>
        <w:t xml:space="preserve"> PCB a součet jejich ročních </w:t>
      </w:r>
      <w:r w:rsidR="00AF1716">
        <w:rPr>
          <w:sz w:val="16"/>
          <w:szCs w:val="16"/>
        </w:rPr>
        <w:t>průměrů</w:t>
      </w:r>
      <w:r>
        <w:rPr>
          <w:sz w:val="16"/>
          <w:szCs w:val="16"/>
        </w:rPr>
        <w:t>.</w:t>
      </w:r>
    </w:p>
    <w:p w14:paraId="28A097A4" w14:textId="77777777" w:rsidR="001F3BC6" w:rsidRPr="001870D1" w:rsidRDefault="00F46C77" w:rsidP="00BC75A0">
      <w:pPr>
        <w:ind w:left="284" w:hanging="284"/>
        <w:rPr>
          <w:rFonts w:eastAsia="ArialMT"/>
          <w:sz w:val="16"/>
          <w:szCs w:val="16"/>
        </w:rPr>
      </w:pPr>
      <w:r w:rsidRPr="00BC75A0">
        <w:rPr>
          <w:sz w:val="16"/>
          <w:szCs w:val="16"/>
          <w:vertAlign w:val="superscript"/>
        </w:rPr>
        <w:t>2)</w:t>
      </w:r>
      <w:r>
        <w:rPr>
          <w:sz w:val="16"/>
          <w:szCs w:val="16"/>
        </w:rPr>
        <w:tab/>
      </w:r>
      <w:r w:rsidRPr="001870D1">
        <w:rPr>
          <w:rFonts w:eastAsia="ArialMT"/>
          <w:sz w:val="16"/>
          <w:szCs w:val="16"/>
        </w:rPr>
        <w:t xml:space="preserve">Suma </w:t>
      </w:r>
      <w:proofErr w:type="spellStart"/>
      <w:proofErr w:type="gramStart"/>
      <w:r w:rsidRPr="001870D1">
        <w:rPr>
          <w:rFonts w:eastAsia="ArialMT"/>
          <w:sz w:val="16"/>
          <w:szCs w:val="16"/>
        </w:rPr>
        <w:t>benzo</w:t>
      </w:r>
      <w:proofErr w:type="spellEnd"/>
      <w:r w:rsidRPr="001870D1">
        <w:rPr>
          <w:rFonts w:eastAsia="ArialMT"/>
          <w:sz w:val="16"/>
          <w:szCs w:val="16"/>
        </w:rPr>
        <w:t>(a)pyrenu</w:t>
      </w:r>
      <w:proofErr w:type="gramEnd"/>
      <w:r w:rsidRPr="001870D1">
        <w:rPr>
          <w:rFonts w:eastAsia="ArialMT"/>
          <w:sz w:val="16"/>
          <w:szCs w:val="16"/>
        </w:rPr>
        <w:t xml:space="preserve">, </w:t>
      </w:r>
      <w:proofErr w:type="spellStart"/>
      <w:r w:rsidRPr="001870D1">
        <w:rPr>
          <w:rFonts w:eastAsia="ArialMT"/>
          <w:sz w:val="16"/>
          <w:szCs w:val="16"/>
        </w:rPr>
        <w:t>benzo</w:t>
      </w:r>
      <w:proofErr w:type="spellEnd"/>
      <w:r w:rsidRPr="001870D1">
        <w:rPr>
          <w:rFonts w:eastAsia="ArialMT"/>
          <w:sz w:val="16"/>
          <w:szCs w:val="16"/>
        </w:rPr>
        <w:t>(b)</w:t>
      </w:r>
      <w:proofErr w:type="spellStart"/>
      <w:r w:rsidRPr="001870D1">
        <w:rPr>
          <w:rFonts w:eastAsia="ArialMT"/>
          <w:sz w:val="16"/>
          <w:szCs w:val="16"/>
        </w:rPr>
        <w:t>fluoranthenu</w:t>
      </w:r>
      <w:proofErr w:type="spellEnd"/>
      <w:r w:rsidRPr="001870D1">
        <w:rPr>
          <w:rFonts w:eastAsia="ArialMT"/>
          <w:sz w:val="16"/>
          <w:szCs w:val="16"/>
        </w:rPr>
        <w:t xml:space="preserve">, </w:t>
      </w:r>
      <w:proofErr w:type="spellStart"/>
      <w:r w:rsidRPr="001870D1">
        <w:rPr>
          <w:rFonts w:eastAsia="ArialMT"/>
          <w:sz w:val="16"/>
          <w:szCs w:val="16"/>
        </w:rPr>
        <w:t>benzo</w:t>
      </w:r>
      <w:proofErr w:type="spellEnd"/>
      <w:r w:rsidRPr="001870D1">
        <w:rPr>
          <w:rFonts w:eastAsia="ArialMT"/>
          <w:sz w:val="16"/>
          <w:szCs w:val="16"/>
        </w:rPr>
        <w:t>(k)</w:t>
      </w:r>
      <w:proofErr w:type="spellStart"/>
      <w:r w:rsidRPr="001870D1">
        <w:rPr>
          <w:rFonts w:eastAsia="ArialMT"/>
          <w:sz w:val="16"/>
          <w:szCs w:val="16"/>
        </w:rPr>
        <w:t>fluoranthenu</w:t>
      </w:r>
      <w:proofErr w:type="spellEnd"/>
      <w:r w:rsidRPr="001870D1">
        <w:rPr>
          <w:rFonts w:eastAsia="ArialMT"/>
          <w:sz w:val="16"/>
          <w:szCs w:val="16"/>
        </w:rPr>
        <w:t xml:space="preserve">, </w:t>
      </w:r>
      <w:proofErr w:type="spellStart"/>
      <w:r w:rsidRPr="001870D1">
        <w:rPr>
          <w:rFonts w:eastAsia="ArialMT"/>
          <w:sz w:val="16"/>
          <w:szCs w:val="16"/>
        </w:rPr>
        <w:t>benzo</w:t>
      </w:r>
      <w:proofErr w:type="spellEnd"/>
      <w:r w:rsidRPr="001870D1">
        <w:rPr>
          <w:rFonts w:eastAsia="ArialMT"/>
          <w:sz w:val="16"/>
          <w:szCs w:val="16"/>
        </w:rPr>
        <w:t>(</w:t>
      </w:r>
      <w:proofErr w:type="spellStart"/>
      <w:r w:rsidRPr="001870D1">
        <w:rPr>
          <w:rFonts w:eastAsia="ArialMT"/>
          <w:sz w:val="16"/>
          <w:szCs w:val="16"/>
        </w:rPr>
        <w:t>g,h,i</w:t>
      </w:r>
      <w:proofErr w:type="spellEnd"/>
      <w:r w:rsidRPr="001870D1">
        <w:rPr>
          <w:rFonts w:eastAsia="ArialMT"/>
          <w:sz w:val="16"/>
          <w:szCs w:val="16"/>
        </w:rPr>
        <w:t>)</w:t>
      </w:r>
      <w:proofErr w:type="spellStart"/>
      <w:r w:rsidRPr="001870D1">
        <w:rPr>
          <w:rFonts w:eastAsia="ArialMT"/>
          <w:sz w:val="16"/>
          <w:szCs w:val="16"/>
        </w:rPr>
        <w:t>perylenu</w:t>
      </w:r>
      <w:proofErr w:type="spellEnd"/>
      <w:r w:rsidRPr="001870D1">
        <w:rPr>
          <w:rFonts w:eastAsia="ArialMT"/>
          <w:sz w:val="16"/>
          <w:szCs w:val="16"/>
        </w:rPr>
        <w:t xml:space="preserve"> a </w:t>
      </w:r>
      <w:proofErr w:type="spellStart"/>
      <w:r w:rsidRPr="001870D1">
        <w:rPr>
          <w:rFonts w:eastAsia="ArialMT"/>
          <w:sz w:val="16"/>
          <w:szCs w:val="16"/>
        </w:rPr>
        <w:t>indeo</w:t>
      </w:r>
      <w:proofErr w:type="spellEnd"/>
      <w:r w:rsidRPr="001870D1">
        <w:rPr>
          <w:rFonts w:eastAsia="ArialMT"/>
          <w:sz w:val="16"/>
          <w:szCs w:val="16"/>
        </w:rPr>
        <w:t>(1,2,3-cd)pyrenu</w:t>
      </w:r>
      <w:r w:rsidR="008A6637" w:rsidRPr="001870D1">
        <w:rPr>
          <w:rFonts w:eastAsia="ArialMT"/>
          <w:sz w:val="16"/>
          <w:szCs w:val="16"/>
        </w:rPr>
        <w:t>.</w:t>
      </w:r>
    </w:p>
    <w:p w14:paraId="33E62C05" w14:textId="77777777" w:rsidR="008D4678" w:rsidRDefault="00EF2C7A" w:rsidP="00D30E2B">
      <w:pPr>
        <w:ind w:left="284" w:hanging="284"/>
      </w:pPr>
      <w:r>
        <w:rPr>
          <w:sz w:val="16"/>
          <w:szCs w:val="16"/>
          <w:vertAlign w:val="superscript"/>
        </w:rPr>
        <w:t>3</w:t>
      </w:r>
      <w:r w:rsidRPr="00BC75A0">
        <w:rPr>
          <w:sz w:val="16"/>
          <w:szCs w:val="16"/>
          <w:vertAlign w:val="superscript"/>
        </w:rPr>
        <w:t>)</w:t>
      </w:r>
      <w:r>
        <w:rPr>
          <w:sz w:val="16"/>
          <w:szCs w:val="16"/>
        </w:rPr>
        <w:tab/>
        <w:t>Viz usnesení č. 2 k bodu 6.4 programu jednání 60. zasedání Koordinační rady FGG Elbe</w:t>
      </w:r>
      <w:r w:rsidRPr="002D6A7E">
        <w:rPr>
          <w:rFonts w:eastAsia="ArialMT"/>
          <w:sz w:val="16"/>
          <w:szCs w:val="16"/>
        </w:rPr>
        <w:t>.</w:t>
      </w:r>
    </w:p>
    <w:p w14:paraId="2033938F" w14:textId="77777777" w:rsidR="001F3BC6" w:rsidRDefault="001F3BC6" w:rsidP="00747D26">
      <w:pPr>
        <w:ind w:left="284" w:hanging="284"/>
        <w:sectPr w:rsidR="001F3BC6" w:rsidSect="008D4678">
          <w:headerReference w:type="default" r:id="rId12"/>
          <w:footerReference w:type="default" r:id="rId13"/>
          <w:pgSz w:w="16838" w:h="11906" w:orient="landscape" w:code="9"/>
          <w:pgMar w:top="1418" w:right="1701" w:bottom="1134" w:left="1134" w:header="709" w:footer="567" w:gutter="0"/>
          <w:cols w:space="708"/>
          <w:docGrid w:linePitch="360"/>
        </w:sectPr>
      </w:pPr>
    </w:p>
    <w:p w14:paraId="75B0A352" w14:textId="77777777" w:rsidR="00482462" w:rsidRPr="0035358C" w:rsidRDefault="00482462" w:rsidP="00482462">
      <w:pPr>
        <w:spacing w:line="276" w:lineRule="auto"/>
        <w:rPr>
          <w:rFonts w:cs="Arial"/>
          <w:color w:val="000000"/>
        </w:rPr>
      </w:pPr>
    </w:p>
    <w:p w14:paraId="147680D8" w14:textId="77777777" w:rsidR="00482462" w:rsidRPr="0035358C" w:rsidRDefault="00482462" w:rsidP="00482462">
      <w:pPr>
        <w:spacing w:after="200"/>
        <w:rPr>
          <w:rFonts w:cs="Arial"/>
          <w:b/>
          <w:sz w:val="24"/>
        </w:rPr>
      </w:pPr>
      <w:r w:rsidRPr="0035358C">
        <w:rPr>
          <w:rFonts w:cs="Arial"/>
          <w:b/>
          <w:sz w:val="24"/>
        </w:rPr>
        <w:t>Literatura</w:t>
      </w:r>
    </w:p>
    <w:p w14:paraId="2139A248" w14:textId="77777777" w:rsidR="004B5F01" w:rsidRDefault="004B5F01" w:rsidP="004B5F01">
      <w:pPr>
        <w:spacing w:after="120"/>
        <w:rPr>
          <w:rFonts w:cs="Arial"/>
          <w:szCs w:val="22"/>
        </w:rPr>
      </w:pPr>
      <w:r w:rsidRPr="00E464CF">
        <w:t xml:space="preserve">DE </w:t>
      </w:r>
      <w:proofErr w:type="gramStart"/>
      <w:r w:rsidRPr="00E464CF">
        <w:t>DECKERE</w:t>
      </w:r>
      <w:proofErr w:type="gramEnd"/>
      <w:r w:rsidRPr="00E464CF">
        <w:t xml:space="preserve">, E., DE </w:t>
      </w:r>
      <w:r w:rsidRPr="004B5F01">
        <w:rPr>
          <w:rFonts w:cs="Arial"/>
          <w:szCs w:val="22"/>
        </w:rPr>
        <w:t>COOMAN</w:t>
      </w:r>
      <w:r w:rsidRPr="00E464CF">
        <w:t xml:space="preserve">,W., LELOUP, V., MEIRE, P., SCHMITT, C., VON DEROHE, P. (2011): </w:t>
      </w:r>
      <w:proofErr w:type="spellStart"/>
      <w:r w:rsidRPr="00E464CF">
        <w:t>Development</w:t>
      </w:r>
      <w:proofErr w:type="spellEnd"/>
      <w:r w:rsidRPr="00E464CF">
        <w:t xml:space="preserve"> </w:t>
      </w:r>
      <w:proofErr w:type="spellStart"/>
      <w:r w:rsidRPr="00E464CF">
        <w:t>of</w:t>
      </w:r>
      <w:proofErr w:type="spellEnd"/>
      <w:r w:rsidRPr="00E464CF">
        <w:t xml:space="preserve"> sediment </w:t>
      </w:r>
      <w:proofErr w:type="spellStart"/>
      <w:r w:rsidRPr="00E464CF">
        <w:t>quality</w:t>
      </w:r>
      <w:proofErr w:type="spellEnd"/>
      <w:r w:rsidRPr="00E464CF">
        <w:t xml:space="preserve"> </w:t>
      </w:r>
      <w:proofErr w:type="spellStart"/>
      <w:r w:rsidRPr="00E464CF">
        <w:t>guidelines</w:t>
      </w:r>
      <w:proofErr w:type="spellEnd"/>
      <w:r w:rsidRPr="00E464CF">
        <w:t xml:space="preserve"> </w:t>
      </w:r>
      <w:proofErr w:type="spellStart"/>
      <w:r w:rsidRPr="00E464CF">
        <w:t>for</w:t>
      </w:r>
      <w:proofErr w:type="spellEnd"/>
      <w:r w:rsidRPr="00E464CF">
        <w:t xml:space="preserve"> </w:t>
      </w:r>
      <w:proofErr w:type="spellStart"/>
      <w:r w:rsidRPr="00E464CF">
        <w:t>freshwater</w:t>
      </w:r>
      <w:proofErr w:type="spellEnd"/>
      <w:r w:rsidRPr="00E464CF">
        <w:t xml:space="preserve"> </w:t>
      </w:r>
      <w:proofErr w:type="spellStart"/>
      <w:r w:rsidRPr="00E464CF">
        <w:t>ecosystems</w:t>
      </w:r>
      <w:proofErr w:type="spellEnd"/>
      <w:r w:rsidRPr="00E464CF">
        <w:t xml:space="preserve">. </w:t>
      </w:r>
      <w:proofErr w:type="spellStart"/>
      <w:r w:rsidRPr="00E464CF">
        <w:t>Journal</w:t>
      </w:r>
      <w:proofErr w:type="spellEnd"/>
      <w:r w:rsidRPr="00E464CF">
        <w:t xml:space="preserve"> </w:t>
      </w:r>
      <w:proofErr w:type="spellStart"/>
      <w:r w:rsidRPr="00E464CF">
        <w:t>of</w:t>
      </w:r>
      <w:proofErr w:type="spellEnd"/>
      <w:r w:rsidRPr="00E464CF">
        <w:t xml:space="preserve"> </w:t>
      </w:r>
      <w:proofErr w:type="spellStart"/>
      <w:r w:rsidRPr="00E464CF">
        <w:t>Soils</w:t>
      </w:r>
      <w:proofErr w:type="spellEnd"/>
      <w:r w:rsidRPr="00E464CF">
        <w:t xml:space="preserve"> and </w:t>
      </w:r>
      <w:proofErr w:type="spellStart"/>
      <w:r w:rsidRPr="00E464CF">
        <w:t>Sediments</w:t>
      </w:r>
      <w:proofErr w:type="spellEnd"/>
      <w:r w:rsidRPr="00E464CF">
        <w:t xml:space="preserve"> 11, </w:t>
      </w:r>
      <w:proofErr w:type="gramStart"/>
      <w:r w:rsidRPr="00E464CF">
        <w:t>504-517</w:t>
      </w:r>
      <w:proofErr w:type="gramEnd"/>
    </w:p>
    <w:p w14:paraId="3B136665" w14:textId="77777777" w:rsidR="00482462" w:rsidRPr="004B5F01" w:rsidRDefault="00482462" w:rsidP="004B5F01">
      <w:pPr>
        <w:spacing w:after="120"/>
      </w:pPr>
      <w:r w:rsidRPr="004B5F01">
        <w:t xml:space="preserve">Di </w:t>
      </w:r>
      <w:proofErr w:type="gramStart"/>
      <w:r w:rsidRPr="004B5F01">
        <w:t>Toro, D.M.</w:t>
      </w:r>
      <w:proofErr w:type="gramEnd"/>
      <w:r w:rsidRPr="004B5F01">
        <w:t xml:space="preserve">, </w:t>
      </w:r>
      <w:proofErr w:type="spellStart"/>
      <w:r w:rsidRPr="004B5F01">
        <w:t>Zarba</w:t>
      </w:r>
      <w:proofErr w:type="spellEnd"/>
      <w:r w:rsidRPr="004B5F01">
        <w:t xml:space="preserve">, C.S. et al. (1991): </w:t>
      </w:r>
      <w:proofErr w:type="spellStart"/>
      <w:r w:rsidRPr="004B5F01">
        <w:t>Technical</w:t>
      </w:r>
      <w:proofErr w:type="spellEnd"/>
      <w:r w:rsidRPr="004B5F01">
        <w:t xml:space="preserve"> </w:t>
      </w:r>
      <w:proofErr w:type="spellStart"/>
      <w:r w:rsidRPr="004B5F01">
        <w:t>basis</w:t>
      </w:r>
      <w:proofErr w:type="spellEnd"/>
      <w:r w:rsidRPr="004B5F01">
        <w:t xml:space="preserve"> </w:t>
      </w:r>
      <w:proofErr w:type="spellStart"/>
      <w:r w:rsidRPr="004B5F01">
        <w:t>for</w:t>
      </w:r>
      <w:proofErr w:type="spellEnd"/>
      <w:r w:rsidRPr="004B5F01">
        <w:t xml:space="preserve"> </w:t>
      </w:r>
      <w:proofErr w:type="spellStart"/>
      <w:r w:rsidRPr="004B5F01">
        <w:t>establishing</w:t>
      </w:r>
      <w:proofErr w:type="spellEnd"/>
      <w:r w:rsidRPr="004B5F01">
        <w:t xml:space="preserve"> sediment </w:t>
      </w:r>
      <w:proofErr w:type="spellStart"/>
      <w:r w:rsidRPr="004B5F01">
        <w:t>quality</w:t>
      </w:r>
      <w:proofErr w:type="spellEnd"/>
      <w:r w:rsidRPr="004B5F01">
        <w:t xml:space="preserve"> </w:t>
      </w:r>
      <w:proofErr w:type="spellStart"/>
      <w:r w:rsidRPr="004B5F01">
        <w:t>criteria</w:t>
      </w:r>
      <w:proofErr w:type="spellEnd"/>
      <w:r w:rsidRPr="004B5F01">
        <w:t xml:space="preserve"> </w:t>
      </w:r>
      <w:proofErr w:type="spellStart"/>
      <w:r w:rsidRPr="004B5F01">
        <w:t>for</w:t>
      </w:r>
      <w:proofErr w:type="spellEnd"/>
      <w:r w:rsidRPr="004B5F01">
        <w:t xml:space="preserve"> </w:t>
      </w:r>
      <w:proofErr w:type="spellStart"/>
      <w:r w:rsidRPr="004B5F01">
        <w:t>nonionic</w:t>
      </w:r>
      <w:proofErr w:type="spellEnd"/>
      <w:r w:rsidRPr="004B5F01">
        <w:t xml:space="preserve"> </w:t>
      </w:r>
      <w:proofErr w:type="spellStart"/>
      <w:r w:rsidRPr="004B5F01">
        <w:t>organic</w:t>
      </w:r>
      <w:proofErr w:type="spellEnd"/>
      <w:r w:rsidRPr="004B5F01">
        <w:t xml:space="preserve"> </w:t>
      </w:r>
      <w:proofErr w:type="spellStart"/>
      <w:r w:rsidRPr="004B5F01">
        <w:t>chemicals</w:t>
      </w:r>
      <w:proofErr w:type="spellEnd"/>
      <w:r w:rsidRPr="004B5F01">
        <w:t xml:space="preserve"> </w:t>
      </w:r>
      <w:proofErr w:type="spellStart"/>
      <w:r w:rsidRPr="004B5F01">
        <w:t>using</w:t>
      </w:r>
      <w:proofErr w:type="spellEnd"/>
      <w:r w:rsidRPr="004B5F01">
        <w:t xml:space="preserve"> </w:t>
      </w:r>
      <w:proofErr w:type="spellStart"/>
      <w:r w:rsidRPr="004B5F01">
        <w:t>equilibrium</w:t>
      </w:r>
      <w:proofErr w:type="spellEnd"/>
      <w:r w:rsidRPr="004B5F01">
        <w:t xml:space="preserve"> </w:t>
      </w:r>
      <w:proofErr w:type="spellStart"/>
      <w:r w:rsidRPr="004B5F01">
        <w:t>partitioning</w:t>
      </w:r>
      <w:proofErr w:type="spellEnd"/>
      <w:r w:rsidRPr="004B5F01">
        <w:t xml:space="preserve">. In: </w:t>
      </w:r>
      <w:proofErr w:type="spellStart"/>
      <w:r w:rsidRPr="004B5F01">
        <w:t>Environmental</w:t>
      </w:r>
      <w:proofErr w:type="spellEnd"/>
      <w:r w:rsidRPr="004B5F01">
        <w:t xml:space="preserve"> </w:t>
      </w:r>
      <w:proofErr w:type="spellStart"/>
      <w:r w:rsidRPr="004B5F01">
        <w:t>Toxicology</w:t>
      </w:r>
      <w:proofErr w:type="spellEnd"/>
      <w:r w:rsidRPr="004B5F01">
        <w:t xml:space="preserve"> and </w:t>
      </w:r>
      <w:proofErr w:type="spellStart"/>
      <w:r w:rsidRPr="004B5F01">
        <w:t>Chemistry</w:t>
      </w:r>
      <w:proofErr w:type="spellEnd"/>
      <w:r w:rsidRPr="004B5F01">
        <w:t xml:space="preserve"> 10: </w:t>
      </w:r>
      <w:proofErr w:type="gramStart"/>
      <w:r w:rsidRPr="004B5F01">
        <w:t>1541-1583</w:t>
      </w:r>
      <w:proofErr w:type="gramEnd"/>
      <w:r w:rsidRPr="004B5F01">
        <w:t>.</w:t>
      </w:r>
    </w:p>
    <w:p w14:paraId="724BFA0B" w14:textId="77777777" w:rsidR="00482462" w:rsidRPr="004B5F01" w:rsidRDefault="00482462" w:rsidP="004B5F01">
      <w:pPr>
        <w:spacing w:after="120"/>
      </w:pPr>
      <w:r w:rsidRPr="004B5F01">
        <w:t xml:space="preserve">EC (2011): </w:t>
      </w:r>
      <w:proofErr w:type="spellStart"/>
      <w:r w:rsidRPr="004B5F01">
        <w:t>Common</w:t>
      </w:r>
      <w:proofErr w:type="spellEnd"/>
      <w:r w:rsidRPr="004B5F01">
        <w:t xml:space="preserve"> </w:t>
      </w:r>
      <w:proofErr w:type="spellStart"/>
      <w:r w:rsidRPr="004B5F01">
        <w:t>implementation</w:t>
      </w:r>
      <w:proofErr w:type="spellEnd"/>
      <w:r w:rsidRPr="004B5F01">
        <w:t xml:space="preserve"> </w:t>
      </w:r>
      <w:proofErr w:type="spellStart"/>
      <w:r w:rsidRPr="004B5F01">
        <w:t>strategy</w:t>
      </w:r>
      <w:proofErr w:type="spellEnd"/>
      <w:r w:rsidRPr="004B5F01">
        <w:t xml:space="preserve"> </w:t>
      </w:r>
      <w:proofErr w:type="spellStart"/>
      <w:r w:rsidRPr="004B5F01">
        <w:t>for</w:t>
      </w:r>
      <w:proofErr w:type="spellEnd"/>
      <w:r w:rsidRPr="004B5F01">
        <w:t xml:space="preserve"> </w:t>
      </w:r>
      <w:proofErr w:type="spellStart"/>
      <w:r w:rsidRPr="004B5F01">
        <w:t>the</w:t>
      </w:r>
      <w:proofErr w:type="spellEnd"/>
      <w:r w:rsidRPr="004B5F01">
        <w:t xml:space="preserve"> </w:t>
      </w:r>
      <w:proofErr w:type="spellStart"/>
      <w:r w:rsidRPr="004B5F01">
        <w:t>Water</w:t>
      </w:r>
      <w:proofErr w:type="spellEnd"/>
      <w:r w:rsidRPr="004B5F01">
        <w:t xml:space="preserve"> Framework </w:t>
      </w:r>
      <w:proofErr w:type="spellStart"/>
      <w:r w:rsidRPr="004B5F01">
        <w:t>Directive</w:t>
      </w:r>
      <w:proofErr w:type="spellEnd"/>
      <w:r w:rsidRPr="004B5F01">
        <w:t xml:space="preserve"> (2000/60/EC). </w:t>
      </w:r>
      <w:proofErr w:type="spellStart"/>
      <w:r w:rsidRPr="004B5F01">
        <w:t>Technical</w:t>
      </w:r>
      <w:proofErr w:type="spellEnd"/>
      <w:r w:rsidRPr="004B5F01">
        <w:t xml:space="preserve"> </w:t>
      </w:r>
      <w:proofErr w:type="gramStart"/>
      <w:r w:rsidRPr="004B5F01">
        <w:t>Report</w:t>
      </w:r>
      <w:proofErr w:type="gramEnd"/>
      <w:r w:rsidRPr="004B5F01">
        <w:t xml:space="preserve"> - </w:t>
      </w:r>
      <w:proofErr w:type="gramStart"/>
      <w:r w:rsidRPr="004B5F01">
        <w:t>2011</w:t>
      </w:r>
      <w:proofErr w:type="gramEnd"/>
      <w:r w:rsidRPr="004B5F01">
        <w:t xml:space="preserve"> - 055. </w:t>
      </w:r>
      <w:proofErr w:type="spellStart"/>
      <w:r w:rsidRPr="004B5F01">
        <w:t>Guidance</w:t>
      </w:r>
      <w:proofErr w:type="spellEnd"/>
      <w:r w:rsidRPr="004B5F01">
        <w:t xml:space="preserve"> </w:t>
      </w:r>
      <w:proofErr w:type="spellStart"/>
      <w:r w:rsidRPr="004B5F01">
        <w:t>Document</w:t>
      </w:r>
      <w:proofErr w:type="spellEnd"/>
      <w:r w:rsidRPr="004B5F01">
        <w:t xml:space="preserve"> No. 27. </w:t>
      </w:r>
      <w:proofErr w:type="spellStart"/>
      <w:r w:rsidRPr="004B5F01">
        <w:t>Technical</w:t>
      </w:r>
      <w:proofErr w:type="spellEnd"/>
      <w:r w:rsidRPr="004B5F01">
        <w:t xml:space="preserve"> </w:t>
      </w:r>
      <w:proofErr w:type="spellStart"/>
      <w:r w:rsidRPr="004B5F01">
        <w:t>Guidance</w:t>
      </w:r>
      <w:proofErr w:type="spellEnd"/>
      <w:r w:rsidRPr="004B5F01">
        <w:t xml:space="preserve"> </w:t>
      </w:r>
      <w:proofErr w:type="spellStart"/>
      <w:r w:rsidRPr="004B5F01">
        <w:t>For</w:t>
      </w:r>
      <w:proofErr w:type="spellEnd"/>
      <w:r w:rsidRPr="004B5F01">
        <w:t xml:space="preserve"> </w:t>
      </w:r>
      <w:proofErr w:type="spellStart"/>
      <w:r w:rsidRPr="004B5F01">
        <w:t>Deriving</w:t>
      </w:r>
      <w:proofErr w:type="spellEnd"/>
      <w:r w:rsidRPr="004B5F01">
        <w:t xml:space="preserve"> </w:t>
      </w:r>
      <w:proofErr w:type="spellStart"/>
      <w:r w:rsidRPr="004B5F01">
        <w:t>Environmental</w:t>
      </w:r>
      <w:proofErr w:type="spellEnd"/>
      <w:r w:rsidRPr="004B5F01">
        <w:t xml:space="preserve"> </w:t>
      </w:r>
      <w:proofErr w:type="spellStart"/>
      <w:r w:rsidRPr="004B5F01">
        <w:t>Quality</w:t>
      </w:r>
      <w:proofErr w:type="spellEnd"/>
      <w:r w:rsidRPr="004B5F01">
        <w:t xml:space="preserve"> </w:t>
      </w:r>
      <w:proofErr w:type="spellStart"/>
      <w:r w:rsidRPr="004B5F01">
        <w:t>Standards</w:t>
      </w:r>
      <w:proofErr w:type="spellEnd"/>
      <w:r w:rsidRPr="004B5F01">
        <w:t xml:space="preserve">. </w:t>
      </w:r>
      <w:proofErr w:type="spellStart"/>
      <w:r w:rsidRPr="004B5F01">
        <w:t>European</w:t>
      </w:r>
      <w:proofErr w:type="spellEnd"/>
      <w:r w:rsidRPr="004B5F01">
        <w:t xml:space="preserve"> </w:t>
      </w:r>
      <w:proofErr w:type="spellStart"/>
      <w:r w:rsidRPr="004B5F01">
        <w:t>Communities</w:t>
      </w:r>
      <w:proofErr w:type="spellEnd"/>
      <w:r w:rsidRPr="004B5F01">
        <w:t>, 2011.</w:t>
      </w:r>
    </w:p>
    <w:p w14:paraId="67C47187" w14:textId="77777777" w:rsidR="00482462" w:rsidRPr="004B5F01" w:rsidRDefault="00482462" w:rsidP="004B5F01">
      <w:pPr>
        <w:spacing w:after="120"/>
      </w:pPr>
      <w:r w:rsidRPr="004B5F01">
        <w:t xml:space="preserve">FGG </w:t>
      </w:r>
      <w:proofErr w:type="gramStart"/>
      <w:r w:rsidRPr="004B5F01">
        <w:t>Elbe</w:t>
      </w:r>
      <w:proofErr w:type="gramEnd"/>
      <w:r w:rsidRPr="004B5F01">
        <w:t xml:space="preserve"> - </w:t>
      </w:r>
      <w:proofErr w:type="spellStart"/>
      <w:proofErr w:type="gramStart"/>
      <w:r w:rsidRPr="004B5F01">
        <w:t>Flussgebietsgemeinschaft</w:t>
      </w:r>
      <w:proofErr w:type="spellEnd"/>
      <w:proofErr w:type="gramEnd"/>
      <w:r w:rsidRPr="004B5F01">
        <w:t xml:space="preserve"> Elbe (</w:t>
      </w:r>
      <w:proofErr w:type="spellStart"/>
      <w:r w:rsidRPr="004B5F01">
        <w:t>Hrsg</w:t>
      </w:r>
      <w:proofErr w:type="spellEnd"/>
      <w:r w:rsidRPr="004B5F01">
        <w:t xml:space="preserve">.) (2013): </w:t>
      </w:r>
      <w:proofErr w:type="spellStart"/>
      <w:r w:rsidR="004B5F01">
        <w:t>Sedimentmanagementkonzept</w:t>
      </w:r>
      <w:proofErr w:type="spellEnd"/>
      <w:r w:rsidR="004B5F01">
        <w:t xml:space="preserve"> der FGG Elbe. </w:t>
      </w:r>
      <w:proofErr w:type="spellStart"/>
      <w:r w:rsidRPr="004B5F01">
        <w:t>Vorschläge</w:t>
      </w:r>
      <w:proofErr w:type="spellEnd"/>
      <w:r w:rsidRPr="004B5F01">
        <w:t xml:space="preserve"> </w:t>
      </w:r>
      <w:proofErr w:type="spellStart"/>
      <w:r w:rsidRPr="004B5F01">
        <w:t>für</w:t>
      </w:r>
      <w:proofErr w:type="spellEnd"/>
      <w:r w:rsidRPr="004B5F01">
        <w:t xml:space="preserve"> </w:t>
      </w:r>
      <w:proofErr w:type="spellStart"/>
      <w:r w:rsidRPr="004B5F01">
        <w:t>eine</w:t>
      </w:r>
      <w:proofErr w:type="spellEnd"/>
      <w:r w:rsidRPr="004B5F01">
        <w:t xml:space="preserve"> </w:t>
      </w:r>
      <w:proofErr w:type="spellStart"/>
      <w:r w:rsidRPr="004B5F01">
        <w:t>gute</w:t>
      </w:r>
      <w:proofErr w:type="spellEnd"/>
      <w:r w:rsidRPr="004B5F01">
        <w:t xml:space="preserve"> </w:t>
      </w:r>
      <w:proofErr w:type="spellStart"/>
      <w:r w:rsidRPr="004B5F01">
        <w:t>Sedimentmanagementpraxis</w:t>
      </w:r>
      <w:proofErr w:type="spellEnd"/>
      <w:r w:rsidRPr="004B5F01">
        <w:t xml:space="preserve"> </w:t>
      </w:r>
      <w:proofErr w:type="spellStart"/>
      <w:r w:rsidRPr="004B5F01">
        <w:t>im</w:t>
      </w:r>
      <w:proofErr w:type="spellEnd"/>
      <w:r w:rsidRPr="004B5F01">
        <w:t xml:space="preserve"> </w:t>
      </w:r>
      <w:proofErr w:type="spellStart"/>
      <w:r w:rsidRPr="004B5F01">
        <w:t>deutschen</w:t>
      </w:r>
      <w:proofErr w:type="spellEnd"/>
      <w:r w:rsidRPr="004B5F01">
        <w:t xml:space="preserve"> </w:t>
      </w:r>
      <w:proofErr w:type="spellStart"/>
      <w:r w:rsidRPr="004B5F01">
        <w:t>Elbegebiet</w:t>
      </w:r>
      <w:proofErr w:type="spellEnd"/>
      <w:r w:rsidRPr="004B5F01">
        <w:t xml:space="preserve"> </w:t>
      </w:r>
      <w:proofErr w:type="spellStart"/>
      <w:r w:rsidRPr="004B5F01">
        <w:t>zur</w:t>
      </w:r>
      <w:proofErr w:type="spellEnd"/>
      <w:r w:rsidRPr="004B5F01">
        <w:t xml:space="preserve"> </w:t>
      </w:r>
      <w:proofErr w:type="spellStart"/>
      <w:r w:rsidRPr="004B5F01">
        <w:t>Erreichung</w:t>
      </w:r>
      <w:proofErr w:type="spellEnd"/>
      <w:r w:rsidRPr="004B5F01">
        <w:t xml:space="preserve"> </w:t>
      </w:r>
      <w:proofErr w:type="spellStart"/>
      <w:r w:rsidRPr="004B5F01">
        <w:t>überregionaler</w:t>
      </w:r>
      <w:proofErr w:type="spellEnd"/>
      <w:r w:rsidRPr="004B5F01">
        <w:t xml:space="preserve"> </w:t>
      </w:r>
      <w:proofErr w:type="spellStart"/>
      <w:r w:rsidRPr="004B5F01">
        <w:t>Handlungsziele</w:t>
      </w:r>
      <w:proofErr w:type="spellEnd"/>
      <w:r w:rsidRPr="004B5F01">
        <w:t>. 383 S. Magdeburg.</w:t>
      </w:r>
    </w:p>
    <w:p w14:paraId="326C8364" w14:textId="77777777" w:rsidR="00482462" w:rsidRPr="004B5F01" w:rsidRDefault="00482462" w:rsidP="004B5F01">
      <w:pPr>
        <w:spacing w:after="120"/>
      </w:pPr>
      <w:proofErr w:type="spellStart"/>
      <w:r w:rsidRPr="004B5F01">
        <w:t>Heise</w:t>
      </w:r>
      <w:proofErr w:type="spellEnd"/>
      <w:r w:rsidRPr="004B5F01">
        <w:t xml:space="preserve">, S., </w:t>
      </w:r>
      <w:proofErr w:type="spellStart"/>
      <w:r w:rsidRPr="004B5F01">
        <w:t>Claus</w:t>
      </w:r>
      <w:proofErr w:type="spellEnd"/>
      <w:r w:rsidRPr="004B5F01">
        <w:t xml:space="preserve">, E., </w:t>
      </w:r>
      <w:proofErr w:type="spellStart"/>
      <w:r w:rsidRPr="004B5F01">
        <w:t>Heininger</w:t>
      </w:r>
      <w:proofErr w:type="spellEnd"/>
      <w:r w:rsidRPr="004B5F01">
        <w:t xml:space="preserve">, P., </w:t>
      </w:r>
      <w:proofErr w:type="spellStart"/>
      <w:r w:rsidRPr="004B5F01">
        <w:t>Krämer</w:t>
      </w:r>
      <w:proofErr w:type="spellEnd"/>
      <w:r w:rsidRPr="004B5F01">
        <w:t xml:space="preserve">, T., </w:t>
      </w:r>
      <w:proofErr w:type="spellStart"/>
      <w:r w:rsidRPr="004B5F01">
        <w:t>Krüger</w:t>
      </w:r>
      <w:proofErr w:type="spellEnd"/>
      <w:r w:rsidRPr="004B5F01">
        <w:t xml:space="preserve">, F., Schwartz, R. &amp; U. </w:t>
      </w:r>
      <w:proofErr w:type="spellStart"/>
      <w:r w:rsidRPr="004B5F01">
        <w:t>Förstner</w:t>
      </w:r>
      <w:proofErr w:type="spellEnd"/>
      <w:r w:rsidRPr="004B5F01">
        <w:t xml:space="preserve"> (2005): Studie </w:t>
      </w:r>
      <w:proofErr w:type="spellStart"/>
      <w:r w:rsidRPr="004B5F01">
        <w:t>zur</w:t>
      </w:r>
      <w:proofErr w:type="spellEnd"/>
      <w:r w:rsidRPr="004B5F01">
        <w:t xml:space="preserve"> </w:t>
      </w:r>
      <w:proofErr w:type="spellStart"/>
      <w:r w:rsidRPr="004B5F01">
        <w:t>Schadstoffbelastung</w:t>
      </w:r>
      <w:proofErr w:type="spellEnd"/>
      <w:r w:rsidRPr="004B5F01">
        <w:t xml:space="preserve"> der Sedimente </w:t>
      </w:r>
      <w:proofErr w:type="spellStart"/>
      <w:r w:rsidRPr="004B5F01">
        <w:t>im</w:t>
      </w:r>
      <w:proofErr w:type="spellEnd"/>
      <w:r w:rsidRPr="004B5F01">
        <w:t xml:space="preserve"> </w:t>
      </w:r>
      <w:proofErr w:type="spellStart"/>
      <w:r w:rsidRPr="004B5F01">
        <w:t>Elbeeinzugsgebiet</w:t>
      </w:r>
      <w:proofErr w:type="spellEnd"/>
      <w:r w:rsidRPr="004B5F01">
        <w:t xml:space="preserve"> – </w:t>
      </w:r>
      <w:proofErr w:type="spellStart"/>
      <w:r w:rsidRPr="004B5F01">
        <w:t>Ursachen</w:t>
      </w:r>
      <w:proofErr w:type="spellEnd"/>
      <w:r w:rsidRPr="004B5F01">
        <w:t xml:space="preserve"> </w:t>
      </w:r>
      <w:proofErr w:type="spellStart"/>
      <w:r w:rsidRPr="004B5F01">
        <w:t>und</w:t>
      </w:r>
      <w:proofErr w:type="spellEnd"/>
      <w:r w:rsidRPr="004B5F01">
        <w:t xml:space="preserve"> </w:t>
      </w:r>
      <w:proofErr w:type="spellStart"/>
      <w:r w:rsidRPr="004B5F01">
        <w:t>Trends</w:t>
      </w:r>
      <w:proofErr w:type="spellEnd"/>
      <w:r w:rsidRPr="004B5F01">
        <w:t xml:space="preserve">. </w:t>
      </w:r>
      <w:proofErr w:type="spellStart"/>
      <w:r w:rsidRPr="004B5F01">
        <w:t>Im</w:t>
      </w:r>
      <w:proofErr w:type="spellEnd"/>
      <w:r w:rsidRPr="004B5F01">
        <w:t xml:space="preserve"> </w:t>
      </w:r>
      <w:proofErr w:type="spellStart"/>
      <w:r w:rsidRPr="004B5F01">
        <w:t>Auftrag</w:t>
      </w:r>
      <w:proofErr w:type="spellEnd"/>
      <w:r w:rsidRPr="004B5F01">
        <w:t xml:space="preserve"> der Hamburg Port </w:t>
      </w:r>
      <w:proofErr w:type="spellStart"/>
      <w:r w:rsidRPr="004B5F01">
        <w:t>Authority</w:t>
      </w:r>
      <w:proofErr w:type="spellEnd"/>
      <w:r w:rsidRPr="004B5F01">
        <w:t xml:space="preserve">, </w:t>
      </w:r>
      <w:proofErr w:type="spellStart"/>
      <w:r w:rsidRPr="004B5F01">
        <w:t>erstellt</w:t>
      </w:r>
      <w:proofErr w:type="spellEnd"/>
      <w:r w:rsidRPr="004B5F01">
        <w:t xml:space="preserve"> </w:t>
      </w:r>
      <w:proofErr w:type="spellStart"/>
      <w:r w:rsidRPr="004B5F01">
        <w:t>vom</w:t>
      </w:r>
      <w:proofErr w:type="spellEnd"/>
      <w:r w:rsidRPr="004B5F01">
        <w:t xml:space="preserve"> </w:t>
      </w:r>
      <w:proofErr w:type="spellStart"/>
      <w:r w:rsidRPr="004B5F01">
        <w:t>Beratungszentrum</w:t>
      </w:r>
      <w:proofErr w:type="spellEnd"/>
      <w:r w:rsidRPr="004B5F01">
        <w:t xml:space="preserve"> </w:t>
      </w:r>
      <w:proofErr w:type="spellStart"/>
      <w:r w:rsidRPr="004B5F01">
        <w:t>für</w:t>
      </w:r>
      <w:proofErr w:type="spellEnd"/>
      <w:r w:rsidRPr="004B5F01">
        <w:t xml:space="preserve"> </w:t>
      </w:r>
      <w:proofErr w:type="spellStart"/>
      <w:r w:rsidRPr="004B5F01">
        <w:t>integriertes</w:t>
      </w:r>
      <w:proofErr w:type="spellEnd"/>
      <w:r w:rsidRPr="004B5F01">
        <w:t xml:space="preserve"> </w:t>
      </w:r>
      <w:proofErr w:type="spellStart"/>
      <w:r w:rsidRPr="004B5F01">
        <w:t>Sedimentmanagement</w:t>
      </w:r>
      <w:proofErr w:type="spellEnd"/>
      <w:r w:rsidRPr="004B5F01">
        <w:t xml:space="preserve"> (BIS/</w:t>
      </w:r>
      <w:proofErr w:type="spellStart"/>
      <w:r w:rsidRPr="004B5F01">
        <w:t>TuTech</w:t>
      </w:r>
      <w:proofErr w:type="spellEnd"/>
      <w:r w:rsidRPr="004B5F01">
        <w:t xml:space="preserve">) </w:t>
      </w:r>
      <w:proofErr w:type="spellStart"/>
      <w:r w:rsidRPr="004B5F01">
        <w:t>an</w:t>
      </w:r>
      <w:proofErr w:type="spellEnd"/>
      <w:r w:rsidRPr="004B5F01">
        <w:t xml:space="preserve"> der TU Hamburg-</w:t>
      </w:r>
      <w:proofErr w:type="spellStart"/>
      <w:r w:rsidRPr="004B5F01">
        <w:t>Harburg</w:t>
      </w:r>
      <w:proofErr w:type="spellEnd"/>
      <w:r w:rsidRPr="004B5F01">
        <w:t xml:space="preserve">. 217 </w:t>
      </w:r>
      <w:proofErr w:type="spellStart"/>
      <w:r w:rsidRPr="004B5F01">
        <w:t>Seiten</w:t>
      </w:r>
      <w:proofErr w:type="spellEnd"/>
      <w:r w:rsidRPr="004B5F01">
        <w:t>. Hamburg.</w:t>
      </w:r>
    </w:p>
    <w:p w14:paraId="07F95E7C" w14:textId="77777777" w:rsidR="00482462" w:rsidRPr="004B5F01" w:rsidRDefault="00482462" w:rsidP="004B5F01">
      <w:pPr>
        <w:spacing w:after="120"/>
      </w:pPr>
      <w:proofErr w:type="spellStart"/>
      <w:r w:rsidRPr="004B5F01">
        <w:t>Heise</w:t>
      </w:r>
      <w:proofErr w:type="spellEnd"/>
      <w:r w:rsidRPr="004B5F01">
        <w:t xml:space="preserve">, S., </w:t>
      </w:r>
      <w:proofErr w:type="spellStart"/>
      <w:r w:rsidRPr="004B5F01">
        <w:t>Krüger</w:t>
      </w:r>
      <w:proofErr w:type="spellEnd"/>
      <w:r w:rsidRPr="004B5F01">
        <w:t xml:space="preserve">, F., Baborowski, M., </w:t>
      </w:r>
      <w:proofErr w:type="spellStart"/>
      <w:r w:rsidRPr="004B5F01">
        <w:t>Stachel</w:t>
      </w:r>
      <w:proofErr w:type="spellEnd"/>
      <w:r w:rsidRPr="004B5F01">
        <w:t xml:space="preserve">, B., Götz, R. &amp; U. </w:t>
      </w:r>
      <w:proofErr w:type="spellStart"/>
      <w:r w:rsidRPr="004B5F01">
        <w:t>Förstner</w:t>
      </w:r>
      <w:proofErr w:type="spellEnd"/>
      <w:r w:rsidRPr="004B5F01">
        <w:t xml:space="preserve"> (2008): </w:t>
      </w:r>
      <w:proofErr w:type="spellStart"/>
      <w:r w:rsidRPr="004B5F01">
        <w:t>Bewertung</w:t>
      </w:r>
      <w:proofErr w:type="spellEnd"/>
      <w:r w:rsidRPr="004B5F01">
        <w:t xml:space="preserve"> der </w:t>
      </w:r>
      <w:proofErr w:type="spellStart"/>
      <w:r w:rsidRPr="004B5F01">
        <w:t>Risiken</w:t>
      </w:r>
      <w:proofErr w:type="spellEnd"/>
      <w:r w:rsidRPr="004B5F01">
        <w:t xml:space="preserve"> durch </w:t>
      </w:r>
      <w:proofErr w:type="spellStart"/>
      <w:r w:rsidRPr="004B5F01">
        <w:t>feststoffgebundene</w:t>
      </w:r>
      <w:proofErr w:type="spellEnd"/>
      <w:r w:rsidRPr="004B5F01">
        <w:t xml:space="preserve"> </w:t>
      </w:r>
      <w:proofErr w:type="spellStart"/>
      <w:r w:rsidRPr="004B5F01">
        <w:t>Schadstoffe</w:t>
      </w:r>
      <w:proofErr w:type="spellEnd"/>
      <w:r w:rsidRPr="004B5F01">
        <w:t xml:space="preserve"> </w:t>
      </w:r>
      <w:proofErr w:type="spellStart"/>
      <w:r w:rsidRPr="004B5F01">
        <w:t>im</w:t>
      </w:r>
      <w:proofErr w:type="spellEnd"/>
      <w:r w:rsidRPr="004B5F01">
        <w:t xml:space="preserve"> </w:t>
      </w:r>
      <w:proofErr w:type="spellStart"/>
      <w:r w:rsidRPr="004B5F01">
        <w:t>Elbeeinzugsgebiet</w:t>
      </w:r>
      <w:proofErr w:type="spellEnd"/>
      <w:r w:rsidRPr="004B5F01">
        <w:t xml:space="preserve">. </w:t>
      </w:r>
      <w:proofErr w:type="spellStart"/>
      <w:r w:rsidRPr="004B5F01">
        <w:t>Im</w:t>
      </w:r>
      <w:proofErr w:type="spellEnd"/>
      <w:r w:rsidRPr="004B5F01">
        <w:t xml:space="preserve"> </w:t>
      </w:r>
      <w:proofErr w:type="spellStart"/>
      <w:r w:rsidRPr="004B5F01">
        <w:t>Auftrag</w:t>
      </w:r>
      <w:proofErr w:type="spellEnd"/>
      <w:r w:rsidRPr="004B5F01">
        <w:t xml:space="preserve"> der </w:t>
      </w:r>
      <w:proofErr w:type="spellStart"/>
      <w:r w:rsidRPr="004B5F01">
        <w:t>Flussgebietsgemeinschaft</w:t>
      </w:r>
      <w:proofErr w:type="spellEnd"/>
      <w:r w:rsidRPr="004B5F01">
        <w:t xml:space="preserve"> Elbe </w:t>
      </w:r>
      <w:proofErr w:type="spellStart"/>
      <w:r w:rsidRPr="004B5F01">
        <w:t>und</w:t>
      </w:r>
      <w:proofErr w:type="spellEnd"/>
      <w:r w:rsidRPr="004B5F01">
        <w:t xml:space="preserve"> Hamburg Port </w:t>
      </w:r>
      <w:proofErr w:type="spellStart"/>
      <w:r w:rsidRPr="004B5F01">
        <w:t>Authority</w:t>
      </w:r>
      <w:proofErr w:type="spellEnd"/>
      <w:r w:rsidRPr="004B5F01">
        <w:t xml:space="preserve">, </w:t>
      </w:r>
      <w:proofErr w:type="spellStart"/>
      <w:r w:rsidRPr="004B5F01">
        <w:t>erstellt</w:t>
      </w:r>
      <w:proofErr w:type="spellEnd"/>
      <w:r w:rsidRPr="004B5F01">
        <w:t xml:space="preserve"> </w:t>
      </w:r>
      <w:proofErr w:type="spellStart"/>
      <w:r w:rsidRPr="004B5F01">
        <w:t>vom</w:t>
      </w:r>
      <w:proofErr w:type="spellEnd"/>
      <w:r w:rsidRPr="004B5F01">
        <w:t xml:space="preserve"> </w:t>
      </w:r>
      <w:proofErr w:type="spellStart"/>
      <w:r w:rsidRPr="004B5F01">
        <w:t>Beratungszentrum</w:t>
      </w:r>
      <w:proofErr w:type="spellEnd"/>
      <w:r w:rsidRPr="004B5F01">
        <w:t xml:space="preserve"> </w:t>
      </w:r>
      <w:proofErr w:type="spellStart"/>
      <w:r w:rsidRPr="004B5F01">
        <w:t>für</w:t>
      </w:r>
      <w:proofErr w:type="spellEnd"/>
      <w:r w:rsidRPr="004B5F01">
        <w:t xml:space="preserve"> </w:t>
      </w:r>
      <w:proofErr w:type="spellStart"/>
      <w:r w:rsidRPr="004B5F01">
        <w:t>integriertes</w:t>
      </w:r>
      <w:proofErr w:type="spellEnd"/>
      <w:r w:rsidRPr="004B5F01">
        <w:t xml:space="preserve"> </w:t>
      </w:r>
      <w:proofErr w:type="spellStart"/>
      <w:r w:rsidRPr="004B5F01">
        <w:t>Sedimentmanagement</w:t>
      </w:r>
      <w:proofErr w:type="spellEnd"/>
      <w:r w:rsidRPr="004B5F01">
        <w:t xml:space="preserve"> (BIS/</w:t>
      </w:r>
      <w:proofErr w:type="spellStart"/>
      <w:r w:rsidRPr="004B5F01">
        <w:t>TuTech</w:t>
      </w:r>
      <w:proofErr w:type="spellEnd"/>
      <w:r w:rsidRPr="004B5F01">
        <w:t xml:space="preserve">) </w:t>
      </w:r>
      <w:proofErr w:type="spellStart"/>
      <w:r w:rsidRPr="004B5F01">
        <w:t>an</w:t>
      </w:r>
      <w:proofErr w:type="spellEnd"/>
      <w:r w:rsidRPr="004B5F01">
        <w:t xml:space="preserve"> der TU Hamburg-</w:t>
      </w:r>
      <w:proofErr w:type="spellStart"/>
      <w:r w:rsidRPr="004B5F01">
        <w:t>Harburg</w:t>
      </w:r>
      <w:proofErr w:type="spellEnd"/>
      <w:r w:rsidRPr="004B5F01">
        <w:t xml:space="preserve">. 349 </w:t>
      </w:r>
      <w:proofErr w:type="spellStart"/>
      <w:r w:rsidRPr="004B5F01">
        <w:t>Seiten</w:t>
      </w:r>
      <w:proofErr w:type="spellEnd"/>
      <w:r w:rsidRPr="004B5F01">
        <w:t>. Hamburg.</w:t>
      </w:r>
    </w:p>
    <w:p w14:paraId="04AA75A5" w14:textId="77777777" w:rsidR="00482462" w:rsidRPr="004B5F01" w:rsidRDefault="00482462" w:rsidP="004B5F01">
      <w:pPr>
        <w:spacing w:after="120"/>
      </w:pPr>
      <w:proofErr w:type="gramStart"/>
      <w:r w:rsidRPr="004B5F01">
        <w:t>MKOL</w:t>
      </w:r>
      <w:proofErr w:type="gramEnd"/>
      <w:r w:rsidRPr="004B5F01">
        <w:t xml:space="preserve"> - </w:t>
      </w:r>
      <w:proofErr w:type="gramStart"/>
      <w:r w:rsidRPr="004B5F01">
        <w:t>Mezinárodní</w:t>
      </w:r>
      <w:proofErr w:type="gramEnd"/>
      <w:r w:rsidRPr="004B5F01">
        <w:t xml:space="preserve"> komise pro ochranu Labe (vyd.) (2014): </w:t>
      </w:r>
      <w:r w:rsidR="004B5F01">
        <w:t xml:space="preserve">Koncepce MKOL pro nakládání se sedimenty. </w:t>
      </w:r>
      <w:r w:rsidRPr="004B5F01">
        <w:t>Návrhy správné praxe pro management sedimentů v povodí Labe pro dosažení nadregionálních operativních cílů. 200 stran. Magdeburk.</w:t>
      </w:r>
    </w:p>
    <w:p w14:paraId="1A6FF011" w14:textId="77777777" w:rsidR="004B5F01" w:rsidRDefault="004B5F01" w:rsidP="004B5F01">
      <w:pPr>
        <w:spacing w:after="120"/>
      </w:pPr>
      <w:r w:rsidRPr="00E464CF">
        <w:t xml:space="preserve">OSPAR2010 ERL/2010 EAC: OSPAR </w:t>
      </w:r>
      <w:proofErr w:type="spellStart"/>
      <w:r w:rsidRPr="00E464CF">
        <w:t>Commission</w:t>
      </w:r>
      <w:proofErr w:type="spellEnd"/>
      <w:r w:rsidRPr="00E464CF">
        <w:t xml:space="preserve"> (2009): Background </w:t>
      </w:r>
      <w:proofErr w:type="spellStart"/>
      <w:r w:rsidRPr="00E464CF">
        <w:t>Document</w:t>
      </w:r>
      <w:proofErr w:type="spellEnd"/>
      <w:r w:rsidRPr="00E464CF">
        <w:t xml:space="preserve"> on CEMP </w:t>
      </w:r>
      <w:proofErr w:type="spellStart"/>
      <w:r w:rsidRPr="00E464CF">
        <w:t>Assessment</w:t>
      </w:r>
      <w:proofErr w:type="spellEnd"/>
      <w:r w:rsidRPr="00E464CF">
        <w:t xml:space="preserve"> </w:t>
      </w:r>
      <w:proofErr w:type="spellStart"/>
      <w:r w:rsidRPr="00E464CF">
        <w:t>Criteria</w:t>
      </w:r>
      <w:proofErr w:type="spellEnd"/>
      <w:r w:rsidRPr="00E464CF">
        <w:t xml:space="preserve"> </w:t>
      </w:r>
      <w:proofErr w:type="spellStart"/>
      <w:r w:rsidRPr="00E464CF">
        <w:t>for</w:t>
      </w:r>
      <w:proofErr w:type="spellEnd"/>
      <w:r w:rsidRPr="00E464CF">
        <w:t xml:space="preserve"> OSPAR 2010. London</w:t>
      </w:r>
    </w:p>
    <w:p w14:paraId="53598DB2" w14:textId="77777777" w:rsidR="004B5F01" w:rsidRPr="004B5F01" w:rsidRDefault="004B5F01" w:rsidP="004B5F01">
      <w:pPr>
        <w:spacing w:after="120"/>
      </w:pPr>
      <w:r w:rsidRPr="00E464CF">
        <w:t xml:space="preserve">PRANGE, A., BÖSSOW, E., ERBSLÖH, B., JABLONSKI, R., JANTZEN, E., KRAUSE, P., KRÜGER; F., LENART, H., LEONHARD, P., MEYERCORDT, J., </w:t>
      </w:r>
      <w:proofErr w:type="spellStart"/>
      <w:r w:rsidRPr="00E464CF">
        <w:t>NIEDERGESÄß</w:t>
      </w:r>
      <w:proofErr w:type="spellEnd"/>
      <w:r w:rsidRPr="00E464CF">
        <w:t xml:space="preserve">, R., PEPELINK, R., v. TÜMPLING, W. (1997): </w:t>
      </w:r>
      <w:proofErr w:type="spellStart"/>
      <w:r w:rsidRPr="00E464CF">
        <w:t>Erfassung</w:t>
      </w:r>
      <w:proofErr w:type="spellEnd"/>
      <w:r w:rsidRPr="00E464CF">
        <w:t xml:space="preserve"> </w:t>
      </w:r>
      <w:proofErr w:type="spellStart"/>
      <w:r w:rsidRPr="00E464CF">
        <w:t>und</w:t>
      </w:r>
      <w:proofErr w:type="spellEnd"/>
      <w:r w:rsidRPr="00E464CF">
        <w:t xml:space="preserve"> </w:t>
      </w:r>
      <w:proofErr w:type="spellStart"/>
      <w:r w:rsidRPr="00E464CF">
        <w:t>Beurteilung</w:t>
      </w:r>
      <w:proofErr w:type="spellEnd"/>
      <w:r w:rsidRPr="00E464CF">
        <w:t xml:space="preserve"> der </w:t>
      </w:r>
      <w:proofErr w:type="spellStart"/>
      <w:r w:rsidRPr="00E464CF">
        <w:t>Belastung</w:t>
      </w:r>
      <w:proofErr w:type="spellEnd"/>
      <w:r w:rsidRPr="00E464CF">
        <w:t xml:space="preserve"> der Elbe </w:t>
      </w:r>
      <w:proofErr w:type="spellStart"/>
      <w:r w:rsidRPr="00E464CF">
        <w:t>mit</w:t>
      </w:r>
      <w:proofErr w:type="spellEnd"/>
      <w:r w:rsidRPr="00E464CF">
        <w:t xml:space="preserve"> </w:t>
      </w:r>
      <w:proofErr w:type="spellStart"/>
      <w:r w:rsidRPr="00E464CF">
        <w:t>Schadstoffen</w:t>
      </w:r>
      <w:proofErr w:type="spellEnd"/>
      <w:r w:rsidRPr="00E464CF">
        <w:t xml:space="preserve">. </w:t>
      </w:r>
      <w:proofErr w:type="spellStart"/>
      <w:r w:rsidRPr="00E464CF">
        <w:t>Teilprojekt</w:t>
      </w:r>
      <w:proofErr w:type="spellEnd"/>
      <w:r w:rsidRPr="00E464CF">
        <w:t xml:space="preserve"> 2: </w:t>
      </w:r>
      <w:proofErr w:type="spellStart"/>
      <w:r w:rsidRPr="00E464CF">
        <w:t>Schwermetalle</w:t>
      </w:r>
      <w:proofErr w:type="spellEnd"/>
      <w:r w:rsidRPr="00E464CF">
        <w:t xml:space="preserve"> – </w:t>
      </w:r>
      <w:proofErr w:type="spellStart"/>
      <w:r w:rsidRPr="00E464CF">
        <w:t>Schwermetallspezies</w:t>
      </w:r>
      <w:proofErr w:type="spellEnd"/>
      <w:r w:rsidRPr="00E464CF">
        <w:t xml:space="preserve">. </w:t>
      </w:r>
      <w:proofErr w:type="spellStart"/>
      <w:r w:rsidRPr="00E464CF">
        <w:t>Geogene</w:t>
      </w:r>
      <w:proofErr w:type="spellEnd"/>
      <w:r w:rsidRPr="00E464CF">
        <w:t xml:space="preserve"> </w:t>
      </w:r>
      <w:proofErr w:type="spellStart"/>
      <w:r w:rsidRPr="00E464CF">
        <w:t>Hintergrundwerte</w:t>
      </w:r>
      <w:proofErr w:type="spellEnd"/>
      <w:r w:rsidRPr="00E464CF">
        <w:t xml:space="preserve"> </w:t>
      </w:r>
      <w:proofErr w:type="spellStart"/>
      <w:r w:rsidRPr="00E464CF">
        <w:t>und</w:t>
      </w:r>
      <w:proofErr w:type="spellEnd"/>
      <w:r w:rsidRPr="00E464CF">
        <w:t xml:space="preserve"> </w:t>
      </w:r>
      <w:proofErr w:type="spellStart"/>
      <w:r w:rsidRPr="00E464CF">
        <w:t>zeitliche</w:t>
      </w:r>
      <w:proofErr w:type="spellEnd"/>
      <w:r w:rsidRPr="00E464CF">
        <w:t xml:space="preserve"> </w:t>
      </w:r>
      <w:proofErr w:type="spellStart"/>
      <w:r w:rsidRPr="00E464CF">
        <w:t>Belastungsentwicklung</w:t>
      </w:r>
      <w:proofErr w:type="spellEnd"/>
      <w:r w:rsidRPr="00E464CF">
        <w:t xml:space="preserve">. Band 3/3. </w:t>
      </w:r>
      <w:proofErr w:type="spellStart"/>
      <w:r w:rsidRPr="00E464CF">
        <w:t>Geesthacht</w:t>
      </w:r>
      <w:proofErr w:type="spellEnd"/>
      <w:r w:rsidRPr="00E464CF">
        <w:t>.</w:t>
      </w:r>
    </w:p>
    <w:p w14:paraId="2D9DD77B" w14:textId="77777777" w:rsidR="00482462" w:rsidRDefault="00482462" w:rsidP="00482462"/>
    <w:p w14:paraId="1B606027" w14:textId="77777777" w:rsidR="00482462" w:rsidRDefault="00482462" w:rsidP="00482462"/>
    <w:p w14:paraId="5B55832B" w14:textId="77777777" w:rsidR="004B5F01" w:rsidRDefault="004B5F01" w:rsidP="00482462"/>
    <w:p w14:paraId="7A960200" w14:textId="77777777" w:rsidR="00482462" w:rsidRDefault="00482462" w:rsidP="00482462"/>
    <w:p w14:paraId="67D7C417" w14:textId="77777777" w:rsidR="00482462" w:rsidRDefault="00482462" w:rsidP="00482462"/>
    <w:p w14:paraId="5B8A9D91" w14:textId="77777777" w:rsidR="00482462" w:rsidRDefault="00482462" w:rsidP="00482462">
      <w:pPr>
        <w:pStyle w:val="Anlagen"/>
      </w:pPr>
      <w:r>
        <w:t>Přílohy:</w:t>
      </w:r>
    </w:p>
    <w:p w14:paraId="6FCB9D23" w14:textId="77777777" w:rsidR="00482462" w:rsidRDefault="00482462" w:rsidP="00482462">
      <w:pPr>
        <w:pStyle w:val="Anlagennummern"/>
      </w:pPr>
      <w:r>
        <w:t>Stanovení standardů kvality pro sedimenty</w:t>
      </w:r>
    </w:p>
    <w:p w14:paraId="71584345" w14:textId="77777777" w:rsidR="00482462" w:rsidRDefault="00482462">
      <w:pPr>
        <w:jc w:val="left"/>
        <w:rPr>
          <w:b/>
        </w:rPr>
      </w:pPr>
      <w:r>
        <w:rPr>
          <w:b/>
        </w:rPr>
        <w:br w:type="page"/>
      </w:r>
    </w:p>
    <w:p w14:paraId="62199C22" w14:textId="77777777" w:rsidR="008D4678" w:rsidRPr="008D4678" w:rsidRDefault="008D4678" w:rsidP="008D4678">
      <w:pPr>
        <w:jc w:val="right"/>
        <w:rPr>
          <w:b/>
        </w:rPr>
      </w:pPr>
      <w:r w:rsidRPr="008D4678">
        <w:rPr>
          <w:b/>
        </w:rPr>
        <w:lastRenderedPageBreak/>
        <w:t>Příloha 1</w:t>
      </w:r>
    </w:p>
    <w:p w14:paraId="0B87BE1D" w14:textId="77777777" w:rsidR="008D4678" w:rsidRDefault="00482462" w:rsidP="00482462">
      <w:pPr>
        <w:pStyle w:val="berschrift"/>
      </w:pPr>
      <w:r>
        <w:t>Stanovení standardů kvality pro sedimenty</w:t>
      </w:r>
    </w:p>
    <w:p w14:paraId="71951861" w14:textId="77777777" w:rsidR="008D4678" w:rsidRPr="00482462" w:rsidRDefault="008D4678">
      <w:pPr>
        <w:rPr>
          <w:sz w:val="20"/>
          <w:szCs w:val="20"/>
        </w:rPr>
      </w:pPr>
    </w:p>
    <w:p w14:paraId="7FD523C4" w14:textId="77777777" w:rsidR="00482462" w:rsidRPr="00482462" w:rsidRDefault="00482462" w:rsidP="00482462">
      <w:pPr>
        <w:spacing w:line="276" w:lineRule="auto"/>
        <w:rPr>
          <w:rFonts w:cs="Arial"/>
          <w:color w:val="000000"/>
          <w:sz w:val="20"/>
          <w:szCs w:val="20"/>
        </w:rPr>
      </w:pPr>
      <w:r w:rsidRPr="00482462">
        <w:rPr>
          <w:rFonts w:cs="Arial"/>
          <w:sz w:val="20"/>
          <w:szCs w:val="20"/>
        </w:rPr>
        <w:t>Odvození NEK pro směrnici 2008/105/ES proběhlo na základě metodiky uveřejněné v</w:t>
      </w:r>
      <w:r w:rsidR="004213E1">
        <w:rPr>
          <w:rFonts w:cs="Arial"/>
          <w:sz w:val="20"/>
          <w:szCs w:val="20"/>
        </w:rPr>
        <w:t> </w:t>
      </w:r>
      <w:r w:rsidRPr="00482462">
        <w:rPr>
          <w:rFonts w:cs="Arial"/>
          <w:sz w:val="20"/>
          <w:szCs w:val="20"/>
        </w:rPr>
        <w:t>Technickém směrném dokumentu (TGD) č. 27 Evropské komise (EC 2011). TGD obsahuje vedle metodiky k odvození standardů kvality pro vodnou fázi mj. také odvozovací cesty pro generování cílů kvality pro plaveniny a sedimenty. Na základě argumentů chybějící databáze, příliš velké komplexity a nejistoty při stanovení legislativně závazných standardů kvality pro sedimenty však Komise od realizace těchto návrhů prozatím odstoupila (</w:t>
      </w:r>
      <w:proofErr w:type="spellStart"/>
      <w:r w:rsidRPr="00482462">
        <w:rPr>
          <w:rFonts w:cs="Arial"/>
          <w:sz w:val="20"/>
          <w:szCs w:val="20"/>
        </w:rPr>
        <w:t>Heise</w:t>
      </w:r>
      <w:proofErr w:type="spellEnd"/>
      <w:r w:rsidRPr="00482462">
        <w:rPr>
          <w:rFonts w:cs="Arial"/>
          <w:sz w:val="20"/>
          <w:szCs w:val="20"/>
        </w:rPr>
        <w:t xml:space="preserve"> et al. 2005, 2008). Zároveň však EU ponechala členským státům na vůli, aby si sledovanou matrici pro NEK stanovily samy (příloha V, stať 1.2.6 Rámcové směrnice 2000/60/ES; čl. 3, odst. 2). V</w:t>
      </w:r>
      <w:r w:rsidR="004213E1">
        <w:rPr>
          <w:rFonts w:cs="Arial"/>
          <w:sz w:val="20"/>
          <w:szCs w:val="20"/>
        </w:rPr>
        <w:t> </w:t>
      </w:r>
      <w:r w:rsidRPr="00482462">
        <w:rPr>
          <w:rFonts w:cs="Arial"/>
          <w:sz w:val="20"/>
          <w:szCs w:val="20"/>
        </w:rPr>
        <w:t xml:space="preserve">důsledku toho </w:t>
      </w:r>
      <w:r w:rsidR="004213E1">
        <w:rPr>
          <w:rFonts w:cs="Arial"/>
          <w:sz w:val="20"/>
          <w:szCs w:val="20"/>
        </w:rPr>
        <w:t>byly</w:t>
      </w:r>
      <w:r w:rsidR="004213E1" w:rsidRPr="00482462">
        <w:rPr>
          <w:rFonts w:cs="Arial"/>
          <w:sz w:val="20"/>
          <w:szCs w:val="20"/>
        </w:rPr>
        <w:t xml:space="preserve"> </w:t>
      </w:r>
      <w:r w:rsidRPr="00482462">
        <w:rPr>
          <w:rFonts w:cs="Arial"/>
          <w:sz w:val="20"/>
          <w:szCs w:val="20"/>
        </w:rPr>
        <w:t>v</w:t>
      </w:r>
      <w:r w:rsidR="004213E1">
        <w:rPr>
          <w:rFonts w:cs="Arial"/>
          <w:sz w:val="20"/>
          <w:szCs w:val="20"/>
        </w:rPr>
        <w:t> </w:t>
      </w:r>
      <w:r w:rsidRPr="00482462">
        <w:rPr>
          <w:rFonts w:cs="Arial"/>
          <w:sz w:val="20"/>
          <w:szCs w:val="20"/>
        </w:rPr>
        <w:t xml:space="preserve">české implementaci Rámcové směrnice o vodách </w:t>
      </w:r>
      <w:r w:rsidR="004213E1">
        <w:rPr>
          <w:rFonts w:cs="Arial"/>
          <w:sz w:val="20"/>
          <w:szCs w:val="20"/>
        </w:rPr>
        <w:t xml:space="preserve">v roce 2011 </w:t>
      </w:r>
      <w:r w:rsidRPr="00482462">
        <w:rPr>
          <w:rFonts w:cs="Arial"/>
          <w:sz w:val="20"/>
          <w:szCs w:val="20"/>
        </w:rPr>
        <w:t>uvedeny v</w:t>
      </w:r>
      <w:r w:rsidR="004213E1">
        <w:rPr>
          <w:rFonts w:cs="Arial"/>
          <w:sz w:val="20"/>
          <w:szCs w:val="20"/>
        </w:rPr>
        <w:t> </w:t>
      </w:r>
      <w:r w:rsidRPr="00482462">
        <w:rPr>
          <w:rFonts w:cs="Arial"/>
          <w:sz w:val="20"/>
          <w:szCs w:val="20"/>
        </w:rPr>
        <w:t>seznamu prioritních znečišťujících látek NEK pro pevnou fázi (viz tabulka 2</w:t>
      </w:r>
      <w:r w:rsidR="004213E1">
        <w:rPr>
          <w:rFonts w:cs="Arial"/>
          <w:sz w:val="20"/>
          <w:szCs w:val="20"/>
        </w:rPr>
        <w:t xml:space="preserve"> – tyto NEK byly však v roce 2016 zrušeny</w:t>
      </w:r>
      <w:r w:rsidRPr="00482462">
        <w:rPr>
          <w:rFonts w:cs="Arial"/>
          <w:sz w:val="20"/>
          <w:szCs w:val="20"/>
        </w:rPr>
        <w:t>). V</w:t>
      </w:r>
      <w:r w:rsidR="004213E1">
        <w:rPr>
          <w:rFonts w:cs="Arial"/>
          <w:sz w:val="20"/>
          <w:szCs w:val="20"/>
        </w:rPr>
        <w:t> </w:t>
      </w:r>
      <w:r w:rsidRPr="00482462">
        <w:rPr>
          <w:rFonts w:cs="Arial"/>
          <w:sz w:val="20"/>
          <w:szCs w:val="20"/>
        </w:rPr>
        <w:t>německé implementaci byly</w:t>
      </w:r>
      <w:r w:rsidR="004213E1">
        <w:rPr>
          <w:rFonts w:cs="Arial"/>
          <w:sz w:val="20"/>
          <w:szCs w:val="20"/>
        </w:rPr>
        <w:t xml:space="preserve"> v roce 2011 </w:t>
      </w:r>
      <w:r w:rsidR="004213E1" w:rsidRPr="00482462">
        <w:rPr>
          <w:rFonts w:cs="Arial"/>
          <w:sz w:val="20"/>
          <w:szCs w:val="20"/>
        </w:rPr>
        <w:t>pro některé znečišťující látky specifické pro dané povodí</w:t>
      </w:r>
      <w:r w:rsidR="004213E1">
        <w:rPr>
          <w:rFonts w:cs="Arial"/>
          <w:sz w:val="20"/>
          <w:szCs w:val="20"/>
        </w:rPr>
        <w:t xml:space="preserve"> zavedeny</w:t>
      </w:r>
      <w:r w:rsidRPr="00482462">
        <w:rPr>
          <w:rFonts w:cs="Arial"/>
          <w:sz w:val="20"/>
          <w:szCs w:val="20"/>
        </w:rPr>
        <w:t xml:space="preserve"> NEK pro pevnou fázi.</w:t>
      </w:r>
    </w:p>
    <w:p w14:paraId="2ECA1103" w14:textId="77777777" w:rsidR="008D4678" w:rsidRPr="00482462" w:rsidRDefault="008D4678">
      <w:pPr>
        <w:rPr>
          <w:sz w:val="20"/>
          <w:szCs w:val="20"/>
        </w:rPr>
      </w:pPr>
    </w:p>
    <w:p w14:paraId="18FB6ED8" w14:textId="77777777" w:rsidR="008D4678" w:rsidRPr="00482462" w:rsidRDefault="008D4678" w:rsidP="008D4678">
      <w:pPr>
        <w:spacing w:line="276" w:lineRule="auto"/>
        <w:rPr>
          <w:rFonts w:cs="Arial"/>
          <w:color w:val="000000"/>
          <w:sz w:val="20"/>
          <w:szCs w:val="20"/>
        </w:rPr>
      </w:pPr>
      <w:r w:rsidRPr="00482462">
        <w:rPr>
          <w:rFonts w:cs="Arial"/>
          <w:sz w:val="20"/>
          <w:szCs w:val="20"/>
        </w:rPr>
        <w:t xml:space="preserve">Stanovení standardů kvality pro sedimenty se opírá pokud možno o několik ekotoxikologických testů kontaktu sedimentů s bentickými organismy. Tímto způsobem určená nejnižší koncentrace bez účinků NOEC (no </w:t>
      </w:r>
      <w:proofErr w:type="spellStart"/>
      <w:r w:rsidRPr="00482462">
        <w:rPr>
          <w:rFonts w:cs="Arial"/>
          <w:sz w:val="20"/>
          <w:szCs w:val="20"/>
        </w:rPr>
        <w:t>observed</w:t>
      </w:r>
      <w:proofErr w:type="spellEnd"/>
      <w:r w:rsidRPr="00482462">
        <w:rPr>
          <w:rFonts w:cs="Arial"/>
          <w:sz w:val="20"/>
          <w:szCs w:val="20"/>
        </w:rPr>
        <w:t xml:space="preserve"> </w:t>
      </w:r>
      <w:proofErr w:type="spellStart"/>
      <w:r w:rsidRPr="00482462">
        <w:rPr>
          <w:rFonts w:cs="Arial"/>
          <w:sz w:val="20"/>
          <w:szCs w:val="20"/>
        </w:rPr>
        <w:t>effect</w:t>
      </w:r>
      <w:proofErr w:type="spellEnd"/>
      <w:r w:rsidRPr="00482462">
        <w:rPr>
          <w:rFonts w:cs="Arial"/>
          <w:sz w:val="20"/>
          <w:szCs w:val="20"/>
        </w:rPr>
        <w:t xml:space="preserve"> </w:t>
      </w:r>
      <w:proofErr w:type="spellStart"/>
      <w:r w:rsidRPr="00482462">
        <w:rPr>
          <w:rFonts w:cs="Arial"/>
          <w:sz w:val="20"/>
          <w:szCs w:val="20"/>
        </w:rPr>
        <w:t>concentration</w:t>
      </w:r>
      <w:proofErr w:type="spellEnd"/>
      <w:r w:rsidRPr="00482462">
        <w:rPr>
          <w:rFonts w:cs="Arial"/>
          <w:sz w:val="20"/>
          <w:szCs w:val="20"/>
        </w:rPr>
        <w:t xml:space="preserve">) nebo EC10 (10 % </w:t>
      </w:r>
      <w:proofErr w:type="spellStart"/>
      <w:r w:rsidRPr="00482462">
        <w:rPr>
          <w:rFonts w:cs="Arial"/>
          <w:sz w:val="20"/>
          <w:szCs w:val="20"/>
        </w:rPr>
        <w:t>effect</w:t>
      </w:r>
      <w:proofErr w:type="spellEnd"/>
      <w:r w:rsidRPr="00482462">
        <w:rPr>
          <w:rFonts w:cs="Arial"/>
          <w:sz w:val="20"/>
          <w:szCs w:val="20"/>
        </w:rPr>
        <w:t xml:space="preserve"> </w:t>
      </w:r>
      <w:proofErr w:type="spellStart"/>
      <w:r w:rsidRPr="00482462">
        <w:rPr>
          <w:rFonts w:cs="Arial"/>
          <w:sz w:val="20"/>
          <w:szCs w:val="20"/>
        </w:rPr>
        <w:t>concentration</w:t>
      </w:r>
      <w:proofErr w:type="spellEnd"/>
      <w:r w:rsidRPr="00482462">
        <w:rPr>
          <w:rFonts w:cs="Arial"/>
          <w:sz w:val="20"/>
          <w:szCs w:val="20"/>
        </w:rPr>
        <w:t>) se dělí činitelem bezpečnosti AF (</w:t>
      </w:r>
      <w:proofErr w:type="spellStart"/>
      <w:r w:rsidRPr="00482462">
        <w:rPr>
          <w:rFonts w:cs="Arial"/>
          <w:sz w:val="20"/>
          <w:szCs w:val="20"/>
        </w:rPr>
        <w:t>assessment</w:t>
      </w:r>
      <w:proofErr w:type="spellEnd"/>
      <w:r w:rsidRPr="00482462">
        <w:rPr>
          <w:rFonts w:cs="Arial"/>
          <w:sz w:val="20"/>
          <w:szCs w:val="20"/>
        </w:rPr>
        <w:t xml:space="preserve"> </w:t>
      </w:r>
      <w:proofErr w:type="spellStart"/>
      <w:r w:rsidRPr="00482462">
        <w:rPr>
          <w:rFonts w:cs="Arial"/>
          <w:sz w:val="20"/>
          <w:szCs w:val="20"/>
        </w:rPr>
        <w:t>factor</w:t>
      </w:r>
      <w:proofErr w:type="spellEnd"/>
      <w:r w:rsidRPr="00482462">
        <w:rPr>
          <w:rFonts w:cs="Arial"/>
          <w:sz w:val="20"/>
          <w:szCs w:val="20"/>
        </w:rPr>
        <w:t>), jehož výše je závislá na druhu a počtu testů k obdržení standardu kvality pro sedimenty</w:t>
      </w:r>
      <w:r w:rsidRPr="00482462">
        <w:rPr>
          <w:rFonts w:cs="Arial"/>
          <w:color w:val="000000"/>
          <w:sz w:val="20"/>
          <w:szCs w:val="20"/>
        </w:rPr>
        <w:t xml:space="preserve"> (</w:t>
      </w:r>
      <w:proofErr w:type="spellStart"/>
      <w:r w:rsidRPr="00482462">
        <w:rPr>
          <w:rFonts w:cs="Arial"/>
          <w:color w:val="000000"/>
          <w:sz w:val="20"/>
          <w:szCs w:val="20"/>
        </w:rPr>
        <w:t>Q</w:t>
      </w:r>
      <w:r w:rsidRPr="00482462">
        <w:rPr>
          <w:rFonts w:cs="Arial"/>
          <w:color w:val="000000"/>
          <w:sz w:val="20"/>
          <w:szCs w:val="20"/>
          <w:vertAlign w:val="subscript"/>
        </w:rPr>
        <w:t>sediment</w:t>
      </w:r>
      <w:proofErr w:type="spellEnd"/>
      <w:r w:rsidRPr="00482462">
        <w:rPr>
          <w:rFonts w:cs="Arial"/>
          <w:color w:val="000000"/>
          <w:sz w:val="20"/>
          <w:szCs w:val="20"/>
        </w:rPr>
        <w:t xml:space="preserve">): </w:t>
      </w:r>
    </w:p>
    <w:p w14:paraId="00D80447" w14:textId="77777777" w:rsidR="008D4678" w:rsidRPr="00482462" w:rsidRDefault="008D4678" w:rsidP="008D4678">
      <w:pPr>
        <w:spacing w:line="276" w:lineRule="auto"/>
        <w:rPr>
          <w:rFonts w:cs="Arial"/>
          <w:i/>
          <w:iCs/>
          <w:sz w:val="20"/>
          <w:szCs w:val="20"/>
          <w:highlight w:val="cyan"/>
        </w:rPr>
      </w:pPr>
    </w:p>
    <w:p w14:paraId="7A28C6EB" w14:textId="77777777" w:rsidR="008D4678" w:rsidRPr="004213E1" w:rsidRDefault="008D4678" w:rsidP="008D4678">
      <w:pPr>
        <w:spacing w:line="276" w:lineRule="auto"/>
        <w:rPr>
          <w:rFonts w:cs="Arial"/>
          <w:color w:val="000000"/>
          <w:sz w:val="19"/>
          <w:szCs w:val="19"/>
        </w:rPr>
      </w:pPr>
      <w:r w:rsidRPr="004213E1">
        <w:rPr>
          <w:rFonts w:cs="Arial"/>
          <w:i/>
          <w:iCs/>
          <w:sz w:val="19"/>
          <w:szCs w:val="19"/>
        </w:rPr>
        <w:t>QS sediment [mg/kg] (</w:t>
      </w:r>
      <w:r w:rsidRPr="004213E1">
        <w:rPr>
          <w:rFonts w:cs="Arial"/>
          <w:i/>
          <w:sz w:val="19"/>
          <w:szCs w:val="19"/>
        </w:rPr>
        <w:t>hmotnost za sucha</w:t>
      </w:r>
      <w:r w:rsidRPr="004213E1">
        <w:rPr>
          <w:rFonts w:cs="Arial"/>
          <w:i/>
          <w:iCs/>
          <w:sz w:val="19"/>
          <w:szCs w:val="19"/>
        </w:rPr>
        <w:t xml:space="preserve">) = nejnižší NOEC </w:t>
      </w:r>
      <w:r w:rsidR="004213E1" w:rsidRPr="004213E1">
        <w:rPr>
          <w:rFonts w:cs="Arial"/>
          <w:i/>
          <w:iCs/>
          <w:sz w:val="19"/>
          <w:szCs w:val="19"/>
        </w:rPr>
        <w:t xml:space="preserve"> </w:t>
      </w:r>
      <w:r w:rsidRPr="004213E1">
        <w:rPr>
          <w:rFonts w:cs="Arial"/>
          <w:i/>
          <w:iCs/>
          <w:sz w:val="19"/>
          <w:szCs w:val="19"/>
        </w:rPr>
        <w:t>nebo</w:t>
      </w:r>
      <w:r w:rsidR="004213E1" w:rsidRPr="004213E1">
        <w:rPr>
          <w:rFonts w:cs="Arial"/>
          <w:i/>
          <w:iCs/>
          <w:sz w:val="19"/>
          <w:szCs w:val="19"/>
        </w:rPr>
        <w:t xml:space="preserve"> </w:t>
      </w:r>
      <w:r w:rsidRPr="004213E1">
        <w:rPr>
          <w:rFonts w:cs="Arial"/>
          <w:i/>
          <w:iCs/>
          <w:sz w:val="19"/>
          <w:szCs w:val="19"/>
        </w:rPr>
        <w:t xml:space="preserve"> EC10 [mg/kg] / AF (spektrum: 100 – 10)</w:t>
      </w:r>
    </w:p>
    <w:p w14:paraId="09642F3E" w14:textId="77777777" w:rsidR="008D4678" w:rsidRPr="00482462" w:rsidRDefault="008D4678" w:rsidP="008D4678">
      <w:pPr>
        <w:spacing w:line="276" w:lineRule="auto"/>
        <w:rPr>
          <w:rFonts w:cs="Arial"/>
          <w:color w:val="000000"/>
          <w:sz w:val="20"/>
          <w:szCs w:val="20"/>
        </w:rPr>
      </w:pPr>
    </w:p>
    <w:p w14:paraId="637524EE" w14:textId="77777777" w:rsidR="008D4678" w:rsidRPr="00482462" w:rsidRDefault="008D4678" w:rsidP="008D4678">
      <w:pPr>
        <w:spacing w:after="120" w:line="276" w:lineRule="auto"/>
        <w:rPr>
          <w:rFonts w:cs="Arial"/>
          <w:color w:val="000000"/>
          <w:sz w:val="20"/>
          <w:szCs w:val="20"/>
        </w:rPr>
      </w:pPr>
      <w:r w:rsidRPr="00482462">
        <w:rPr>
          <w:rFonts w:cs="Arial"/>
          <w:sz w:val="20"/>
          <w:szCs w:val="20"/>
        </w:rPr>
        <w:t xml:space="preserve">V nepřítomnosti dostatečně zajištěných a rozsahem dostačujících dat </w:t>
      </w:r>
      <w:proofErr w:type="spellStart"/>
      <w:r w:rsidRPr="00482462">
        <w:rPr>
          <w:rFonts w:cs="Arial"/>
          <w:sz w:val="20"/>
          <w:szCs w:val="20"/>
        </w:rPr>
        <w:t>ekotoxicity</w:t>
      </w:r>
      <w:proofErr w:type="spellEnd"/>
      <w:r w:rsidRPr="00482462">
        <w:rPr>
          <w:rFonts w:cs="Arial"/>
          <w:sz w:val="20"/>
          <w:szCs w:val="20"/>
        </w:rPr>
        <w:t xml:space="preserve"> může být příslušná NEK pro vodu přepočtena pomocí přístupu rovnováhy („</w:t>
      </w:r>
      <w:proofErr w:type="spellStart"/>
      <w:r w:rsidRPr="00482462">
        <w:rPr>
          <w:rFonts w:cs="Arial"/>
          <w:sz w:val="20"/>
          <w:szCs w:val="20"/>
        </w:rPr>
        <w:t>equilibrium</w:t>
      </w:r>
      <w:proofErr w:type="spellEnd"/>
      <w:r w:rsidRPr="00482462">
        <w:rPr>
          <w:rFonts w:cs="Arial"/>
          <w:sz w:val="20"/>
          <w:szCs w:val="20"/>
        </w:rPr>
        <w:t xml:space="preserve"> </w:t>
      </w:r>
      <w:proofErr w:type="spellStart"/>
      <w:r w:rsidRPr="00482462">
        <w:rPr>
          <w:rFonts w:cs="Arial"/>
          <w:sz w:val="20"/>
          <w:szCs w:val="20"/>
        </w:rPr>
        <w:t>partitioning</w:t>
      </w:r>
      <w:proofErr w:type="spellEnd"/>
      <w:r w:rsidRPr="00482462">
        <w:rPr>
          <w:rFonts w:cs="Arial"/>
          <w:sz w:val="20"/>
          <w:szCs w:val="20"/>
        </w:rPr>
        <w:t xml:space="preserve"> (</w:t>
      </w:r>
      <w:proofErr w:type="spellStart"/>
      <w:r w:rsidRPr="00482462">
        <w:rPr>
          <w:rFonts w:cs="Arial"/>
          <w:sz w:val="20"/>
          <w:szCs w:val="20"/>
        </w:rPr>
        <w:t>EqP</w:t>
      </w:r>
      <w:proofErr w:type="spellEnd"/>
      <w:r w:rsidRPr="00482462">
        <w:rPr>
          <w:rFonts w:cs="Arial"/>
          <w:sz w:val="20"/>
          <w:szCs w:val="20"/>
        </w:rPr>
        <w:t xml:space="preserve">) </w:t>
      </w:r>
      <w:proofErr w:type="spellStart"/>
      <w:r w:rsidRPr="00482462">
        <w:rPr>
          <w:rFonts w:cs="Arial"/>
          <w:sz w:val="20"/>
          <w:szCs w:val="20"/>
        </w:rPr>
        <w:t>approach</w:t>
      </w:r>
      <w:proofErr w:type="spellEnd"/>
      <w:r w:rsidRPr="00482462">
        <w:rPr>
          <w:rFonts w:cs="Arial"/>
          <w:sz w:val="20"/>
          <w:szCs w:val="20"/>
        </w:rPr>
        <w:t xml:space="preserve">“ dle Di Tora et al. 1991) na standard kvality pro sedimenty </w:t>
      </w:r>
      <w:r w:rsidRPr="00482462">
        <w:rPr>
          <w:rFonts w:cs="Arial"/>
          <w:color w:val="000000"/>
          <w:sz w:val="20"/>
          <w:szCs w:val="20"/>
        </w:rPr>
        <w:t>(QS</w:t>
      </w:r>
      <w:r w:rsidRPr="00482462">
        <w:rPr>
          <w:rFonts w:cs="Arial"/>
          <w:color w:val="000000"/>
          <w:sz w:val="20"/>
          <w:szCs w:val="20"/>
          <w:vertAlign w:val="subscript"/>
        </w:rPr>
        <w:t> sediment, </w:t>
      </w:r>
      <w:proofErr w:type="spellStart"/>
      <w:r w:rsidRPr="00482462">
        <w:rPr>
          <w:rFonts w:cs="Arial"/>
          <w:color w:val="000000"/>
          <w:sz w:val="20"/>
          <w:szCs w:val="20"/>
          <w:vertAlign w:val="subscript"/>
        </w:rPr>
        <w:t>EqP</w:t>
      </w:r>
      <w:proofErr w:type="spellEnd"/>
      <w:r w:rsidRPr="00482462">
        <w:rPr>
          <w:rFonts w:cs="Arial"/>
          <w:color w:val="000000"/>
          <w:sz w:val="20"/>
          <w:szCs w:val="20"/>
          <w:vertAlign w:val="subscript"/>
        </w:rPr>
        <w:t>, </w:t>
      </w:r>
      <w:proofErr w:type="spellStart"/>
      <w:r w:rsidRPr="00482462">
        <w:rPr>
          <w:rFonts w:cs="Arial"/>
          <w:color w:val="000000"/>
          <w:sz w:val="20"/>
          <w:szCs w:val="20"/>
          <w:vertAlign w:val="subscript"/>
        </w:rPr>
        <w:t>dw</w:t>
      </w:r>
      <w:proofErr w:type="spellEnd"/>
      <w:r w:rsidRPr="00482462">
        <w:rPr>
          <w:rFonts w:cs="Arial"/>
          <w:color w:val="000000"/>
          <w:sz w:val="20"/>
          <w:szCs w:val="20"/>
        </w:rPr>
        <w:t>;</w:t>
      </w:r>
      <w:r w:rsidRPr="00482462">
        <w:rPr>
          <w:rFonts w:cs="Arial"/>
          <w:sz w:val="20"/>
          <w:szCs w:val="20"/>
        </w:rPr>
        <w:t xml:space="preserve"> </w:t>
      </w:r>
      <w:proofErr w:type="spellStart"/>
      <w:r w:rsidRPr="00482462">
        <w:rPr>
          <w:rFonts w:cs="Arial"/>
          <w:sz w:val="20"/>
          <w:szCs w:val="20"/>
        </w:rPr>
        <w:t>dw</w:t>
      </w:r>
      <w:proofErr w:type="spellEnd"/>
      <w:r w:rsidRPr="00482462">
        <w:rPr>
          <w:rFonts w:cs="Arial"/>
          <w:sz w:val="20"/>
          <w:szCs w:val="20"/>
        </w:rPr>
        <w:t> = hmotnost za sucha). Přitom je zapotřebí dbát na to, zda se NEK pro vodnou fázi (</w:t>
      </w:r>
      <w:proofErr w:type="spellStart"/>
      <w:r w:rsidRPr="00482462">
        <w:rPr>
          <w:rFonts w:cs="Arial"/>
          <w:sz w:val="20"/>
          <w:szCs w:val="20"/>
        </w:rPr>
        <w:t>QS</w:t>
      </w:r>
      <w:r w:rsidRPr="00482462">
        <w:rPr>
          <w:rFonts w:cs="Arial"/>
          <w:sz w:val="20"/>
          <w:szCs w:val="20"/>
          <w:vertAlign w:val="subscript"/>
        </w:rPr>
        <w:t>fw</w:t>
      </w:r>
      <w:proofErr w:type="spellEnd"/>
      <w:r w:rsidRPr="00482462">
        <w:rPr>
          <w:rFonts w:cs="Arial"/>
          <w:sz w:val="20"/>
          <w:szCs w:val="20"/>
          <w:vertAlign w:val="subscript"/>
        </w:rPr>
        <w:t>, </w:t>
      </w:r>
      <w:proofErr w:type="spellStart"/>
      <w:r w:rsidRPr="00482462">
        <w:rPr>
          <w:rFonts w:cs="Arial"/>
          <w:sz w:val="20"/>
          <w:szCs w:val="20"/>
          <w:vertAlign w:val="subscript"/>
        </w:rPr>
        <w:t>eco</w:t>
      </w:r>
      <w:proofErr w:type="spellEnd"/>
      <w:r w:rsidRPr="00482462">
        <w:rPr>
          <w:rFonts w:cs="Arial"/>
          <w:sz w:val="20"/>
          <w:szCs w:val="20"/>
        </w:rPr>
        <w:t>) vztahuje na rozpuštěnou frakci nebo na celkový vzorek vody, tj. včetně plavenin. Pro organické znečišťující látky se pak může přepočet provádět pomocí níže uvedených vzorců</w:t>
      </w:r>
      <w:r w:rsidRPr="00482462">
        <w:rPr>
          <w:rFonts w:cs="Arial"/>
          <w:color w:val="000000"/>
          <w:sz w:val="20"/>
          <w:szCs w:val="20"/>
        </w:rPr>
        <w:t>:</w:t>
      </w:r>
    </w:p>
    <w:tbl>
      <w:tblPr>
        <w:tblpPr w:leftFromText="141" w:rightFromText="141" w:vertAnchor="text" w:horzAnchor="page" w:tblpX="2076" w:tblpY="189"/>
        <w:tblW w:w="0" w:type="auto"/>
        <w:tbl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tblBorders>
        <w:tblCellMar>
          <w:left w:w="70" w:type="dxa"/>
          <w:right w:w="70" w:type="dxa"/>
        </w:tblCellMar>
        <w:tblLook w:val="0000" w:firstRow="0" w:lastRow="0" w:firstColumn="0" w:lastColumn="0" w:noHBand="0" w:noVBand="0"/>
      </w:tblPr>
      <w:tblGrid>
        <w:gridCol w:w="2261"/>
        <w:gridCol w:w="1211"/>
        <w:gridCol w:w="2552"/>
      </w:tblGrid>
      <w:tr w:rsidR="008D4678" w:rsidRPr="00482462" w14:paraId="6FDDF7D9" w14:textId="77777777" w:rsidTr="000A162D">
        <w:trPr>
          <w:trHeight w:val="567"/>
        </w:trPr>
        <w:tc>
          <w:tcPr>
            <w:tcW w:w="2261" w:type="dxa"/>
            <w:vMerge w:val="restart"/>
            <w:tcBorders>
              <w:top w:val="single" w:sz="2" w:space="0" w:color="BFBFBF" w:themeColor="background1" w:themeShade="BF"/>
              <w:left w:val="single" w:sz="2" w:space="0" w:color="BFBFBF" w:themeColor="background1" w:themeShade="BF"/>
            </w:tcBorders>
            <w:vAlign w:val="center"/>
          </w:tcPr>
          <w:p w14:paraId="20169C46" w14:textId="77777777" w:rsidR="008D4678" w:rsidRPr="00482462" w:rsidRDefault="008D4678" w:rsidP="000A162D">
            <w:pPr>
              <w:jc w:val="right"/>
              <w:rPr>
                <w:rFonts w:cs="Arial"/>
                <w:color w:val="000000"/>
                <w:sz w:val="20"/>
                <w:szCs w:val="20"/>
              </w:rPr>
            </w:pPr>
            <w:r w:rsidRPr="00482462">
              <w:rPr>
                <w:rFonts w:cs="Arial"/>
                <w:i/>
                <w:color w:val="000000"/>
                <w:sz w:val="20"/>
                <w:szCs w:val="20"/>
              </w:rPr>
              <w:t>QS</w:t>
            </w:r>
            <w:r w:rsidRPr="00482462">
              <w:rPr>
                <w:rFonts w:cs="Arial"/>
                <w:color w:val="000000"/>
                <w:sz w:val="20"/>
                <w:szCs w:val="20"/>
                <w:vertAlign w:val="subscript"/>
              </w:rPr>
              <w:t xml:space="preserve"> sediment, </w:t>
            </w:r>
            <w:proofErr w:type="spellStart"/>
            <w:r w:rsidRPr="00482462">
              <w:rPr>
                <w:rFonts w:cs="Arial"/>
                <w:color w:val="000000"/>
                <w:sz w:val="20"/>
                <w:szCs w:val="20"/>
                <w:vertAlign w:val="subscript"/>
              </w:rPr>
              <w:t>EqP</w:t>
            </w:r>
            <w:proofErr w:type="spellEnd"/>
            <w:r w:rsidRPr="00482462">
              <w:rPr>
                <w:rFonts w:cs="Arial"/>
                <w:color w:val="000000"/>
                <w:sz w:val="20"/>
                <w:szCs w:val="20"/>
                <w:vertAlign w:val="subscript"/>
              </w:rPr>
              <w:t>, </w:t>
            </w:r>
            <w:proofErr w:type="spellStart"/>
            <w:r w:rsidRPr="00482462">
              <w:rPr>
                <w:rFonts w:cs="Arial"/>
                <w:color w:val="000000"/>
                <w:sz w:val="20"/>
                <w:szCs w:val="20"/>
                <w:vertAlign w:val="subscript"/>
              </w:rPr>
              <w:t>ww</w:t>
            </w:r>
            <w:proofErr w:type="spellEnd"/>
            <w:r w:rsidRPr="00482462">
              <w:rPr>
                <w:rFonts w:cs="Arial"/>
                <w:color w:val="000000"/>
                <w:sz w:val="20"/>
                <w:szCs w:val="20"/>
                <w:vertAlign w:val="subscript"/>
              </w:rPr>
              <w:t xml:space="preserve">  </w:t>
            </w:r>
            <w:r w:rsidRPr="00482462">
              <w:rPr>
                <w:rFonts w:cs="Arial"/>
                <w:i/>
                <w:color w:val="000000"/>
                <w:sz w:val="20"/>
                <w:szCs w:val="20"/>
              </w:rPr>
              <w:t xml:space="preserve">= </w:t>
            </w:r>
          </w:p>
        </w:tc>
        <w:tc>
          <w:tcPr>
            <w:tcW w:w="1211" w:type="dxa"/>
            <w:tcBorders>
              <w:top w:val="single" w:sz="2" w:space="0" w:color="BFBFBF" w:themeColor="background1" w:themeShade="BF"/>
              <w:bottom w:val="single" w:sz="8" w:space="0" w:color="000000" w:themeColor="text1"/>
            </w:tcBorders>
            <w:vAlign w:val="bottom"/>
          </w:tcPr>
          <w:p w14:paraId="1E75ECCB" w14:textId="77777777" w:rsidR="008D4678" w:rsidRPr="00482462" w:rsidRDefault="008D4678" w:rsidP="000A162D">
            <w:pPr>
              <w:spacing w:line="276" w:lineRule="auto"/>
              <w:jc w:val="center"/>
              <w:rPr>
                <w:rFonts w:cs="Arial"/>
                <w:color w:val="000000"/>
                <w:sz w:val="20"/>
                <w:szCs w:val="20"/>
              </w:rPr>
            </w:pPr>
            <w:r w:rsidRPr="00482462">
              <w:rPr>
                <w:rFonts w:cs="Arial"/>
                <w:i/>
                <w:color w:val="000000"/>
                <w:sz w:val="20"/>
                <w:szCs w:val="20"/>
              </w:rPr>
              <w:t>K</w:t>
            </w:r>
            <w:r w:rsidRPr="00482462">
              <w:rPr>
                <w:rFonts w:cs="Arial"/>
                <w:color w:val="000000"/>
                <w:sz w:val="20"/>
                <w:szCs w:val="20"/>
                <w:vertAlign w:val="subscript"/>
              </w:rPr>
              <w:t xml:space="preserve"> sed-</w:t>
            </w:r>
            <w:proofErr w:type="spellStart"/>
            <w:r w:rsidRPr="00482462">
              <w:rPr>
                <w:rFonts w:cs="Arial"/>
                <w:color w:val="000000"/>
                <w:sz w:val="20"/>
                <w:szCs w:val="20"/>
                <w:vertAlign w:val="subscript"/>
              </w:rPr>
              <w:t>water</w:t>
            </w:r>
            <w:proofErr w:type="spellEnd"/>
          </w:p>
        </w:tc>
        <w:tc>
          <w:tcPr>
            <w:tcW w:w="2552" w:type="dxa"/>
            <w:vMerge w:val="restart"/>
            <w:tcBorders>
              <w:top w:val="single" w:sz="2" w:space="0" w:color="BFBFBF" w:themeColor="background1" w:themeShade="BF"/>
              <w:right w:val="single" w:sz="2" w:space="0" w:color="BFBFBF" w:themeColor="background1" w:themeShade="BF"/>
            </w:tcBorders>
            <w:vAlign w:val="center"/>
          </w:tcPr>
          <w:p w14:paraId="2D09E68A" w14:textId="77777777" w:rsidR="008D4678" w:rsidRPr="00482462" w:rsidRDefault="008D4678" w:rsidP="000A162D">
            <w:pPr>
              <w:rPr>
                <w:rFonts w:cs="Arial"/>
                <w:color w:val="000000"/>
                <w:sz w:val="20"/>
                <w:szCs w:val="20"/>
              </w:rPr>
            </w:pPr>
            <w:r w:rsidRPr="00482462">
              <w:rPr>
                <w:rFonts w:cs="Arial"/>
                <w:color w:val="000000"/>
                <w:sz w:val="20"/>
                <w:szCs w:val="20"/>
              </w:rPr>
              <w:t xml:space="preserve"> × </w:t>
            </w:r>
            <w:r w:rsidRPr="00482462">
              <w:rPr>
                <w:rFonts w:cs="Arial"/>
                <w:i/>
                <w:color w:val="000000"/>
                <w:sz w:val="20"/>
                <w:szCs w:val="20"/>
              </w:rPr>
              <w:t>QS</w:t>
            </w:r>
            <w:r w:rsidRPr="00482462">
              <w:rPr>
                <w:rFonts w:cs="Arial"/>
                <w:color w:val="000000"/>
                <w:sz w:val="20"/>
                <w:szCs w:val="20"/>
                <w:vertAlign w:val="subscript"/>
              </w:rPr>
              <w:t xml:space="preserve"> </w:t>
            </w:r>
            <w:proofErr w:type="spellStart"/>
            <w:r w:rsidRPr="00482462">
              <w:rPr>
                <w:rFonts w:cs="Arial"/>
                <w:color w:val="000000"/>
                <w:sz w:val="20"/>
                <w:szCs w:val="20"/>
                <w:vertAlign w:val="subscript"/>
              </w:rPr>
              <w:t>fw</w:t>
            </w:r>
            <w:proofErr w:type="spellEnd"/>
            <w:r w:rsidRPr="00482462">
              <w:rPr>
                <w:rFonts w:cs="Arial"/>
                <w:color w:val="000000"/>
                <w:sz w:val="20"/>
                <w:szCs w:val="20"/>
                <w:vertAlign w:val="subscript"/>
              </w:rPr>
              <w:t>, </w:t>
            </w:r>
            <w:proofErr w:type="spellStart"/>
            <w:r w:rsidRPr="00482462">
              <w:rPr>
                <w:rFonts w:cs="Arial"/>
                <w:color w:val="000000"/>
                <w:sz w:val="20"/>
                <w:szCs w:val="20"/>
                <w:vertAlign w:val="subscript"/>
              </w:rPr>
              <w:t>eco</w:t>
            </w:r>
            <w:proofErr w:type="spellEnd"/>
            <w:r w:rsidRPr="00482462">
              <w:rPr>
                <w:rFonts w:cs="Arial"/>
                <w:color w:val="000000"/>
                <w:sz w:val="20"/>
                <w:szCs w:val="20"/>
                <w:vertAlign w:val="subscript"/>
              </w:rPr>
              <w:t xml:space="preserve"> </w:t>
            </w:r>
            <w:r w:rsidRPr="00482462">
              <w:rPr>
                <w:rFonts w:cs="Arial"/>
                <w:color w:val="000000"/>
                <w:sz w:val="20"/>
                <w:szCs w:val="20"/>
              </w:rPr>
              <w:t xml:space="preserve"> × 1000</w:t>
            </w:r>
          </w:p>
        </w:tc>
      </w:tr>
      <w:tr w:rsidR="008D4678" w:rsidRPr="00482462" w14:paraId="7A893BA5" w14:textId="77777777" w:rsidTr="000A162D">
        <w:trPr>
          <w:trHeight w:val="567"/>
        </w:trPr>
        <w:tc>
          <w:tcPr>
            <w:tcW w:w="2261" w:type="dxa"/>
            <w:vMerge/>
            <w:tcBorders>
              <w:left w:val="single" w:sz="2" w:space="0" w:color="BFBFBF" w:themeColor="background1" w:themeShade="BF"/>
              <w:bottom w:val="single" w:sz="2" w:space="0" w:color="BFBFBF" w:themeColor="background1" w:themeShade="BF"/>
            </w:tcBorders>
          </w:tcPr>
          <w:p w14:paraId="317A371E" w14:textId="77777777" w:rsidR="008D4678" w:rsidRPr="00482462" w:rsidRDefault="008D4678" w:rsidP="000A162D">
            <w:pPr>
              <w:spacing w:after="200" w:line="276" w:lineRule="auto"/>
              <w:rPr>
                <w:rFonts w:cs="Arial"/>
                <w:color w:val="000000"/>
                <w:sz w:val="20"/>
                <w:szCs w:val="20"/>
              </w:rPr>
            </w:pPr>
          </w:p>
        </w:tc>
        <w:tc>
          <w:tcPr>
            <w:tcW w:w="1211" w:type="dxa"/>
            <w:tcBorders>
              <w:top w:val="single" w:sz="8" w:space="0" w:color="000000" w:themeColor="text1"/>
              <w:bottom w:val="single" w:sz="2" w:space="0" w:color="BFBFBF" w:themeColor="background1" w:themeShade="BF"/>
            </w:tcBorders>
            <w:vAlign w:val="center"/>
          </w:tcPr>
          <w:p w14:paraId="38A15A55" w14:textId="77777777" w:rsidR="008D4678" w:rsidRPr="00482462" w:rsidRDefault="008D4678" w:rsidP="000A162D">
            <w:pPr>
              <w:spacing w:line="276" w:lineRule="auto"/>
              <w:jc w:val="center"/>
              <w:rPr>
                <w:rFonts w:cs="Arial"/>
                <w:color w:val="000000"/>
                <w:sz w:val="20"/>
                <w:szCs w:val="20"/>
              </w:rPr>
            </w:pPr>
            <w:r w:rsidRPr="00482462">
              <w:rPr>
                <w:rFonts w:cs="Arial"/>
                <w:i/>
                <w:color w:val="000000"/>
                <w:sz w:val="20"/>
                <w:szCs w:val="20"/>
              </w:rPr>
              <w:t>RHO</w:t>
            </w:r>
            <w:r w:rsidRPr="00482462">
              <w:rPr>
                <w:rFonts w:cs="Arial"/>
                <w:color w:val="000000"/>
                <w:sz w:val="20"/>
                <w:szCs w:val="20"/>
                <w:vertAlign w:val="subscript"/>
              </w:rPr>
              <w:t xml:space="preserve"> sed</w:t>
            </w:r>
          </w:p>
        </w:tc>
        <w:tc>
          <w:tcPr>
            <w:tcW w:w="2552" w:type="dxa"/>
            <w:vMerge/>
            <w:tcBorders>
              <w:bottom w:val="single" w:sz="2" w:space="0" w:color="BFBFBF" w:themeColor="background1" w:themeShade="BF"/>
              <w:right w:val="single" w:sz="2" w:space="0" w:color="BFBFBF" w:themeColor="background1" w:themeShade="BF"/>
            </w:tcBorders>
          </w:tcPr>
          <w:p w14:paraId="21133FF4" w14:textId="77777777" w:rsidR="008D4678" w:rsidRPr="00482462" w:rsidRDefault="008D4678" w:rsidP="000A162D">
            <w:pPr>
              <w:spacing w:after="200" w:line="276" w:lineRule="auto"/>
              <w:rPr>
                <w:rFonts w:cs="Arial"/>
                <w:color w:val="000000"/>
                <w:sz w:val="20"/>
                <w:szCs w:val="20"/>
              </w:rPr>
            </w:pPr>
          </w:p>
        </w:tc>
      </w:tr>
    </w:tbl>
    <w:p w14:paraId="7DC21822" w14:textId="77777777" w:rsidR="008D4678" w:rsidRPr="00482462" w:rsidRDefault="008D4678" w:rsidP="008D4678">
      <w:pPr>
        <w:spacing w:line="276" w:lineRule="auto"/>
        <w:rPr>
          <w:rFonts w:cs="Arial"/>
          <w:color w:val="000000"/>
          <w:sz w:val="20"/>
          <w:szCs w:val="20"/>
        </w:rPr>
      </w:pPr>
    </w:p>
    <w:p w14:paraId="1A24BF79" w14:textId="77777777" w:rsidR="008D4678" w:rsidRPr="00482462" w:rsidRDefault="008D4678" w:rsidP="008D4678">
      <w:pPr>
        <w:spacing w:line="276" w:lineRule="auto"/>
        <w:ind w:left="284"/>
        <w:rPr>
          <w:rFonts w:cs="Arial"/>
          <w:color w:val="000000"/>
          <w:sz w:val="20"/>
          <w:szCs w:val="20"/>
        </w:rPr>
      </w:pPr>
    </w:p>
    <w:p w14:paraId="0ED246D3" w14:textId="77777777" w:rsidR="008D4678" w:rsidRPr="00482462" w:rsidRDefault="008D4678" w:rsidP="008D4678">
      <w:pPr>
        <w:spacing w:line="276" w:lineRule="auto"/>
        <w:rPr>
          <w:rFonts w:cs="Arial"/>
          <w:color w:val="000000"/>
          <w:sz w:val="20"/>
          <w:szCs w:val="20"/>
        </w:rPr>
      </w:pPr>
    </w:p>
    <w:p w14:paraId="33F3B32B" w14:textId="77777777" w:rsidR="008D4678" w:rsidRPr="00482462" w:rsidRDefault="008D4678" w:rsidP="008D4678">
      <w:pPr>
        <w:spacing w:line="276" w:lineRule="auto"/>
        <w:rPr>
          <w:rFonts w:cs="Arial"/>
          <w:color w:val="000000"/>
          <w:sz w:val="20"/>
          <w:szCs w:val="20"/>
        </w:rPr>
      </w:pPr>
    </w:p>
    <w:p w14:paraId="272D3A09" w14:textId="77777777" w:rsidR="008D4678" w:rsidRPr="00482462" w:rsidRDefault="008D4678" w:rsidP="008D4678">
      <w:pPr>
        <w:spacing w:line="276" w:lineRule="auto"/>
        <w:rPr>
          <w:rFonts w:cs="Arial"/>
          <w:color w:val="000000"/>
          <w:sz w:val="20"/>
          <w:szCs w:val="20"/>
        </w:rPr>
      </w:pPr>
    </w:p>
    <w:p w14:paraId="0D1834B4" w14:textId="77777777" w:rsidR="008D4678" w:rsidRPr="00482462" w:rsidRDefault="008D4678" w:rsidP="008D4678">
      <w:pPr>
        <w:spacing w:line="276" w:lineRule="auto"/>
        <w:rPr>
          <w:rFonts w:cs="Arial"/>
          <w:color w:val="000000"/>
          <w:sz w:val="20"/>
          <w:szCs w:val="20"/>
        </w:rPr>
      </w:pPr>
    </w:p>
    <w:p w14:paraId="74AA912A" w14:textId="77777777" w:rsidR="008D4678" w:rsidRPr="00482462" w:rsidRDefault="008D4678" w:rsidP="008D4678">
      <w:pPr>
        <w:spacing w:line="276" w:lineRule="auto"/>
        <w:ind w:left="284"/>
        <w:rPr>
          <w:rFonts w:cs="Arial"/>
          <w:color w:val="000000"/>
          <w:sz w:val="20"/>
          <w:szCs w:val="20"/>
        </w:rPr>
      </w:pPr>
      <w:r w:rsidRPr="00482462">
        <w:rPr>
          <w:rFonts w:cs="Arial"/>
          <w:color w:val="000000"/>
          <w:sz w:val="20"/>
          <w:szCs w:val="20"/>
        </w:rPr>
        <w:t xml:space="preserve"> a</w:t>
      </w:r>
    </w:p>
    <w:tbl>
      <w:tblPr>
        <w:tblpPr w:leftFromText="141" w:rightFromText="141" w:vertAnchor="text" w:horzAnchor="page" w:tblpX="2076" w:tblpY="18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261"/>
        <w:gridCol w:w="3763"/>
      </w:tblGrid>
      <w:tr w:rsidR="008D4678" w:rsidRPr="00482462" w14:paraId="3AE0807D" w14:textId="77777777" w:rsidTr="000A162D">
        <w:trPr>
          <w:trHeight w:val="340"/>
        </w:trPr>
        <w:tc>
          <w:tcPr>
            <w:tcW w:w="2261" w:type="dxa"/>
            <w:vMerge w:val="restart"/>
            <w:tcBorders>
              <w:top w:val="single" w:sz="2" w:space="0" w:color="BFBFBF" w:themeColor="background1" w:themeShade="BF"/>
              <w:left w:val="single" w:sz="2" w:space="0" w:color="BFBFBF" w:themeColor="background1" w:themeShade="BF"/>
              <w:bottom w:val="single" w:sz="2" w:space="0" w:color="BFBFBF" w:themeColor="background1" w:themeShade="BF"/>
              <w:right w:val="nil"/>
            </w:tcBorders>
            <w:vAlign w:val="center"/>
          </w:tcPr>
          <w:p w14:paraId="4E8FE5CD" w14:textId="77777777" w:rsidR="008D4678" w:rsidRPr="00482462" w:rsidRDefault="008D4678" w:rsidP="000A162D">
            <w:pPr>
              <w:jc w:val="right"/>
              <w:rPr>
                <w:rFonts w:cs="Arial"/>
                <w:color w:val="000000"/>
                <w:sz w:val="20"/>
                <w:szCs w:val="20"/>
              </w:rPr>
            </w:pPr>
            <w:r w:rsidRPr="00482462">
              <w:rPr>
                <w:rFonts w:cs="Arial"/>
                <w:i/>
                <w:color w:val="000000"/>
                <w:sz w:val="20"/>
                <w:szCs w:val="20"/>
              </w:rPr>
              <w:t>QS</w:t>
            </w:r>
            <w:r w:rsidRPr="00482462">
              <w:rPr>
                <w:rFonts w:cs="Arial"/>
                <w:color w:val="000000"/>
                <w:sz w:val="20"/>
                <w:szCs w:val="20"/>
                <w:vertAlign w:val="subscript"/>
              </w:rPr>
              <w:t xml:space="preserve"> sediment, </w:t>
            </w:r>
            <w:proofErr w:type="spellStart"/>
            <w:r w:rsidRPr="00482462">
              <w:rPr>
                <w:rFonts w:cs="Arial"/>
                <w:color w:val="000000"/>
                <w:sz w:val="20"/>
                <w:szCs w:val="20"/>
                <w:vertAlign w:val="subscript"/>
              </w:rPr>
              <w:t>EqP</w:t>
            </w:r>
            <w:proofErr w:type="spellEnd"/>
            <w:r w:rsidRPr="00482462">
              <w:rPr>
                <w:rFonts w:cs="Arial"/>
                <w:color w:val="000000"/>
                <w:sz w:val="20"/>
                <w:szCs w:val="20"/>
                <w:vertAlign w:val="subscript"/>
              </w:rPr>
              <w:t>, </w:t>
            </w:r>
            <w:proofErr w:type="spellStart"/>
            <w:r w:rsidRPr="00482462">
              <w:rPr>
                <w:rFonts w:cs="Arial"/>
                <w:color w:val="000000"/>
                <w:sz w:val="20"/>
                <w:szCs w:val="20"/>
                <w:vertAlign w:val="subscript"/>
              </w:rPr>
              <w:t>dw</w:t>
            </w:r>
            <w:proofErr w:type="spellEnd"/>
            <w:r w:rsidRPr="00482462">
              <w:rPr>
                <w:rFonts w:cs="Arial"/>
                <w:color w:val="000000"/>
                <w:sz w:val="20"/>
                <w:szCs w:val="20"/>
                <w:vertAlign w:val="subscript"/>
              </w:rPr>
              <w:t xml:space="preserve">  </w:t>
            </w:r>
            <w:r w:rsidRPr="00482462">
              <w:rPr>
                <w:rFonts w:cs="Arial"/>
                <w:i/>
                <w:color w:val="000000"/>
                <w:sz w:val="20"/>
                <w:szCs w:val="20"/>
              </w:rPr>
              <w:t xml:space="preserve">= </w:t>
            </w:r>
          </w:p>
        </w:tc>
        <w:tc>
          <w:tcPr>
            <w:tcW w:w="3763" w:type="dxa"/>
            <w:vMerge w:val="restart"/>
            <w:tcBorders>
              <w:top w:val="single" w:sz="2" w:space="0" w:color="BFBFBF" w:themeColor="background1" w:themeShade="BF"/>
              <w:left w:val="nil"/>
              <w:bottom w:val="single" w:sz="2" w:space="0" w:color="BFBFBF" w:themeColor="background1" w:themeShade="BF"/>
              <w:right w:val="single" w:sz="2" w:space="0" w:color="BFBFBF" w:themeColor="background1" w:themeShade="BF"/>
            </w:tcBorders>
            <w:vAlign w:val="center"/>
          </w:tcPr>
          <w:p w14:paraId="016FD8E5" w14:textId="77777777" w:rsidR="008D4678" w:rsidRPr="00482462" w:rsidRDefault="008D4678" w:rsidP="000A162D">
            <w:pPr>
              <w:rPr>
                <w:rFonts w:cs="Arial"/>
                <w:color w:val="000000"/>
                <w:sz w:val="20"/>
                <w:szCs w:val="20"/>
              </w:rPr>
            </w:pPr>
            <w:r w:rsidRPr="00482462">
              <w:rPr>
                <w:rFonts w:cs="Arial"/>
                <w:i/>
                <w:color w:val="000000"/>
                <w:sz w:val="20"/>
                <w:szCs w:val="20"/>
              </w:rPr>
              <w:t>CONV</w:t>
            </w:r>
            <w:r w:rsidRPr="00482462">
              <w:rPr>
                <w:rFonts w:cs="Arial"/>
                <w:color w:val="000000"/>
                <w:sz w:val="20"/>
                <w:szCs w:val="20"/>
                <w:vertAlign w:val="subscript"/>
              </w:rPr>
              <w:t xml:space="preserve"> sed </w:t>
            </w:r>
            <w:r w:rsidRPr="00482462">
              <w:rPr>
                <w:rFonts w:cs="Arial"/>
                <w:color w:val="000000"/>
                <w:sz w:val="20"/>
                <w:szCs w:val="20"/>
              </w:rPr>
              <w:t xml:space="preserve"> × </w:t>
            </w:r>
            <w:r w:rsidRPr="00482462">
              <w:rPr>
                <w:rFonts w:cs="Arial"/>
                <w:i/>
                <w:color w:val="000000"/>
                <w:sz w:val="20"/>
                <w:szCs w:val="20"/>
              </w:rPr>
              <w:t>QS</w:t>
            </w:r>
            <w:r w:rsidRPr="00482462">
              <w:rPr>
                <w:rFonts w:cs="Arial"/>
                <w:color w:val="000000"/>
                <w:sz w:val="20"/>
                <w:szCs w:val="20"/>
                <w:vertAlign w:val="subscript"/>
              </w:rPr>
              <w:t xml:space="preserve"> sediment, </w:t>
            </w:r>
            <w:proofErr w:type="spellStart"/>
            <w:r w:rsidRPr="00482462">
              <w:rPr>
                <w:rFonts w:cs="Arial"/>
                <w:color w:val="000000"/>
                <w:sz w:val="20"/>
                <w:szCs w:val="20"/>
                <w:vertAlign w:val="subscript"/>
              </w:rPr>
              <w:t>EqP</w:t>
            </w:r>
            <w:proofErr w:type="spellEnd"/>
            <w:r w:rsidRPr="00482462">
              <w:rPr>
                <w:rFonts w:cs="Arial"/>
                <w:color w:val="000000"/>
                <w:sz w:val="20"/>
                <w:szCs w:val="20"/>
                <w:vertAlign w:val="subscript"/>
              </w:rPr>
              <w:t>, </w:t>
            </w:r>
            <w:proofErr w:type="spellStart"/>
            <w:r w:rsidRPr="00482462">
              <w:rPr>
                <w:rFonts w:cs="Arial"/>
                <w:color w:val="000000"/>
                <w:sz w:val="20"/>
                <w:szCs w:val="20"/>
                <w:vertAlign w:val="subscript"/>
              </w:rPr>
              <w:t>ww</w:t>
            </w:r>
            <w:proofErr w:type="spellEnd"/>
            <w:r w:rsidRPr="00482462">
              <w:rPr>
                <w:rFonts w:cs="Arial"/>
                <w:color w:val="000000"/>
                <w:sz w:val="20"/>
                <w:szCs w:val="20"/>
                <w:vertAlign w:val="subscript"/>
              </w:rPr>
              <w:t xml:space="preserve"> </w:t>
            </w:r>
          </w:p>
        </w:tc>
      </w:tr>
      <w:tr w:rsidR="008D4678" w:rsidRPr="00482462" w14:paraId="4CD2097E" w14:textId="77777777" w:rsidTr="000A162D">
        <w:trPr>
          <w:trHeight w:val="567"/>
        </w:trPr>
        <w:tc>
          <w:tcPr>
            <w:tcW w:w="2261" w:type="dxa"/>
            <w:vMerge/>
            <w:tcBorders>
              <w:top w:val="nil"/>
              <w:left w:val="single" w:sz="2" w:space="0" w:color="BFBFBF" w:themeColor="background1" w:themeShade="BF"/>
              <w:bottom w:val="single" w:sz="2" w:space="0" w:color="BFBFBF" w:themeColor="background1" w:themeShade="BF"/>
              <w:right w:val="nil"/>
            </w:tcBorders>
          </w:tcPr>
          <w:p w14:paraId="51AE1733" w14:textId="77777777" w:rsidR="008D4678" w:rsidRPr="00482462" w:rsidRDefault="008D4678" w:rsidP="000A162D">
            <w:pPr>
              <w:spacing w:after="200" w:line="276" w:lineRule="auto"/>
              <w:rPr>
                <w:rFonts w:cs="Arial"/>
                <w:color w:val="000000"/>
                <w:sz w:val="20"/>
                <w:szCs w:val="20"/>
              </w:rPr>
            </w:pPr>
          </w:p>
        </w:tc>
        <w:tc>
          <w:tcPr>
            <w:tcW w:w="3763" w:type="dxa"/>
            <w:vMerge/>
            <w:tcBorders>
              <w:top w:val="nil"/>
              <w:left w:val="nil"/>
              <w:bottom w:val="single" w:sz="2" w:space="0" w:color="BFBFBF" w:themeColor="background1" w:themeShade="BF"/>
              <w:right w:val="single" w:sz="2" w:space="0" w:color="BFBFBF" w:themeColor="background1" w:themeShade="BF"/>
            </w:tcBorders>
          </w:tcPr>
          <w:p w14:paraId="1EBCD207" w14:textId="77777777" w:rsidR="008D4678" w:rsidRPr="00482462" w:rsidRDefault="008D4678" w:rsidP="000A162D">
            <w:pPr>
              <w:spacing w:after="200" w:line="276" w:lineRule="auto"/>
              <w:rPr>
                <w:rFonts w:cs="Arial"/>
                <w:color w:val="000000"/>
                <w:sz w:val="20"/>
                <w:szCs w:val="20"/>
              </w:rPr>
            </w:pPr>
          </w:p>
        </w:tc>
      </w:tr>
    </w:tbl>
    <w:p w14:paraId="30C31465" w14:textId="77777777" w:rsidR="008D4678" w:rsidRPr="00482462" w:rsidRDefault="008D4678" w:rsidP="008D4678">
      <w:pPr>
        <w:spacing w:line="276" w:lineRule="auto"/>
        <w:rPr>
          <w:rFonts w:cs="Arial"/>
          <w:color w:val="000000"/>
          <w:sz w:val="20"/>
          <w:szCs w:val="20"/>
        </w:rPr>
      </w:pPr>
    </w:p>
    <w:p w14:paraId="46F23691" w14:textId="77777777" w:rsidR="008D4678" w:rsidRPr="00482462" w:rsidRDefault="008D4678" w:rsidP="008D4678">
      <w:pPr>
        <w:spacing w:line="276" w:lineRule="auto"/>
        <w:rPr>
          <w:rFonts w:cs="Arial"/>
          <w:color w:val="000000"/>
          <w:sz w:val="20"/>
          <w:szCs w:val="20"/>
        </w:rPr>
      </w:pPr>
    </w:p>
    <w:p w14:paraId="55242447" w14:textId="77777777" w:rsidR="008D4678" w:rsidRPr="00482462" w:rsidRDefault="008D4678" w:rsidP="008D4678">
      <w:pPr>
        <w:spacing w:line="276" w:lineRule="auto"/>
        <w:rPr>
          <w:rFonts w:cs="Arial"/>
          <w:color w:val="000000"/>
          <w:sz w:val="20"/>
          <w:szCs w:val="20"/>
        </w:rPr>
      </w:pPr>
    </w:p>
    <w:p w14:paraId="66909C32" w14:textId="77777777" w:rsidR="008D4678" w:rsidRPr="00482462" w:rsidRDefault="008D4678" w:rsidP="008D4678">
      <w:pPr>
        <w:spacing w:line="276" w:lineRule="auto"/>
        <w:rPr>
          <w:rFonts w:cs="Arial"/>
          <w:color w:val="000000"/>
          <w:sz w:val="20"/>
          <w:szCs w:val="20"/>
        </w:rPr>
      </w:pPr>
    </w:p>
    <w:p w14:paraId="54C5134A" w14:textId="77777777" w:rsidR="008D4678" w:rsidRPr="00482462" w:rsidRDefault="008D4678" w:rsidP="008D4678">
      <w:pPr>
        <w:spacing w:line="276" w:lineRule="auto"/>
        <w:rPr>
          <w:rFonts w:cs="Arial"/>
          <w:color w:val="000000"/>
          <w:sz w:val="20"/>
          <w:szCs w:val="20"/>
        </w:rPr>
      </w:pPr>
    </w:p>
    <w:p w14:paraId="2781D1A8" w14:textId="77777777" w:rsidR="008D4678" w:rsidRPr="00482462" w:rsidRDefault="008D4678" w:rsidP="008D4678">
      <w:pPr>
        <w:spacing w:before="40"/>
        <w:ind w:left="1843" w:hanging="1843"/>
        <w:rPr>
          <w:rFonts w:cs="Arial"/>
          <w:color w:val="000000"/>
          <w:sz w:val="20"/>
          <w:szCs w:val="20"/>
        </w:rPr>
      </w:pPr>
      <w:r w:rsidRPr="00482462">
        <w:rPr>
          <w:rFonts w:cs="Arial"/>
          <w:i/>
          <w:color w:val="000000"/>
          <w:sz w:val="20"/>
          <w:szCs w:val="20"/>
        </w:rPr>
        <w:t>QS</w:t>
      </w:r>
      <w:r w:rsidRPr="00482462">
        <w:rPr>
          <w:rFonts w:cs="Arial"/>
          <w:color w:val="000000"/>
          <w:sz w:val="20"/>
          <w:szCs w:val="20"/>
          <w:vertAlign w:val="subscript"/>
        </w:rPr>
        <w:t xml:space="preserve"> sediment, </w:t>
      </w:r>
      <w:proofErr w:type="spellStart"/>
      <w:r w:rsidRPr="00482462">
        <w:rPr>
          <w:rFonts w:cs="Arial"/>
          <w:color w:val="000000"/>
          <w:sz w:val="20"/>
          <w:szCs w:val="20"/>
          <w:vertAlign w:val="subscript"/>
        </w:rPr>
        <w:t>EqP</w:t>
      </w:r>
      <w:proofErr w:type="spellEnd"/>
      <w:r w:rsidRPr="00482462">
        <w:rPr>
          <w:rFonts w:cs="Arial"/>
          <w:color w:val="000000"/>
          <w:sz w:val="20"/>
          <w:szCs w:val="20"/>
          <w:vertAlign w:val="subscript"/>
        </w:rPr>
        <w:t>, </w:t>
      </w:r>
      <w:proofErr w:type="spellStart"/>
      <w:r w:rsidRPr="00482462">
        <w:rPr>
          <w:rFonts w:cs="Arial"/>
          <w:color w:val="000000"/>
          <w:sz w:val="20"/>
          <w:szCs w:val="20"/>
          <w:vertAlign w:val="subscript"/>
        </w:rPr>
        <w:t>ww</w:t>
      </w:r>
      <w:proofErr w:type="spellEnd"/>
      <w:r w:rsidRPr="00482462">
        <w:rPr>
          <w:rFonts w:cs="Arial"/>
          <w:color w:val="000000"/>
          <w:sz w:val="20"/>
          <w:szCs w:val="20"/>
        </w:rPr>
        <w:t>:</w:t>
      </w:r>
      <w:r w:rsidRPr="00482462">
        <w:rPr>
          <w:rFonts w:cs="Arial"/>
          <w:color w:val="000000"/>
          <w:sz w:val="20"/>
          <w:szCs w:val="20"/>
        </w:rPr>
        <w:tab/>
      </w:r>
      <w:r w:rsidRPr="00482462">
        <w:rPr>
          <w:rFonts w:cs="Arial"/>
          <w:sz w:val="20"/>
          <w:szCs w:val="20"/>
        </w:rPr>
        <w:t>standard kvality (</w:t>
      </w:r>
      <w:proofErr w:type="spellStart"/>
      <w:r w:rsidRPr="00482462">
        <w:rPr>
          <w:rFonts w:cs="Arial"/>
          <w:sz w:val="20"/>
          <w:szCs w:val="20"/>
        </w:rPr>
        <w:t>ww</w:t>
      </w:r>
      <w:proofErr w:type="spellEnd"/>
      <w:r w:rsidRPr="00482462">
        <w:rPr>
          <w:rFonts w:cs="Arial"/>
          <w:sz w:val="20"/>
          <w:szCs w:val="20"/>
        </w:rPr>
        <w:t xml:space="preserve"> = hmotnost za mokra) pro sedimenty na základě</w:t>
      </w:r>
      <w:r w:rsidRPr="00482462">
        <w:rPr>
          <w:rFonts w:cs="Arial"/>
          <w:color w:val="000000"/>
          <w:sz w:val="20"/>
          <w:szCs w:val="20"/>
        </w:rPr>
        <w:t xml:space="preserve"> </w:t>
      </w:r>
      <w:proofErr w:type="spellStart"/>
      <w:r w:rsidRPr="00482462">
        <w:rPr>
          <w:rFonts w:cs="Arial"/>
          <w:color w:val="000000"/>
          <w:sz w:val="20"/>
          <w:szCs w:val="20"/>
        </w:rPr>
        <w:t>EqP</w:t>
      </w:r>
      <w:proofErr w:type="spellEnd"/>
    </w:p>
    <w:p w14:paraId="3A54D05B" w14:textId="77777777" w:rsidR="008D4678" w:rsidRPr="00482462" w:rsidRDefault="008D4678" w:rsidP="008D4678">
      <w:pPr>
        <w:spacing w:before="80"/>
        <w:ind w:left="1843" w:hanging="1134"/>
        <w:rPr>
          <w:rFonts w:cs="Arial"/>
          <w:color w:val="000000"/>
          <w:sz w:val="20"/>
          <w:szCs w:val="20"/>
        </w:rPr>
      </w:pPr>
      <w:r w:rsidRPr="00482462">
        <w:rPr>
          <w:rFonts w:cs="Arial"/>
          <w:i/>
          <w:color w:val="000000"/>
          <w:sz w:val="20"/>
          <w:szCs w:val="20"/>
        </w:rPr>
        <w:t>K</w:t>
      </w:r>
      <w:r w:rsidRPr="00482462">
        <w:rPr>
          <w:rFonts w:cs="Arial"/>
          <w:color w:val="000000"/>
          <w:sz w:val="20"/>
          <w:szCs w:val="20"/>
          <w:vertAlign w:val="subscript"/>
        </w:rPr>
        <w:t xml:space="preserve"> sed-</w:t>
      </w:r>
      <w:proofErr w:type="spellStart"/>
      <w:r w:rsidRPr="00482462">
        <w:rPr>
          <w:rFonts w:cs="Arial"/>
          <w:color w:val="000000"/>
          <w:sz w:val="20"/>
          <w:szCs w:val="20"/>
          <w:vertAlign w:val="subscript"/>
        </w:rPr>
        <w:t>water</w:t>
      </w:r>
      <w:proofErr w:type="spellEnd"/>
      <w:r w:rsidRPr="00482462">
        <w:rPr>
          <w:rFonts w:cs="Arial"/>
          <w:color w:val="000000"/>
          <w:sz w:val="20"/>
          <w:szCs w:val="20"/>
        </w:rPr>
        <w:t>:</w:t>
      </w:r>
      <w:r w:rsidRPr="00482462">
        <w:rPr>
          <w:rFonts w:cs="Arial"/>
          <w:color w:val="000000"/>
          <w:sz w:val="20"/>
          <w:szCs w:val="20"/>
        </w:rPr>
        <w:tab/>
      </w:r>
      <w:r w:rsidRPr="00482462">
        <w:rPr>
          <w:rFonts w:cs="Arial"/>
          <w:sz w:val="20"/>
          <w:szCs w:val="20"/>
        </w:rPr>
        <w:t xml:space="preserve">rozdělovací koeficient mezi sedimenty a vodou (do tohoto koeficientu se promítá např. </w:t>
      </w:r>
      <w:r w:rsidRPr="00482462">
        <w:rPr>
          <w:rFonts w:cs="Arial"/>
          <w:color w:val="000000"/>
          <w:sz w:val="20"/>
          <w:szCs w:val="20"/>
        </w:rPr>
        <w:t>K </w:t>
      </w:r>
      <w:r w:rsidRPr="00482462">
        <w:rPr>
          <w:rFonts w:cs="Arial"/>
          <w:color w:val="000000"/>
          <w:sz w:val="20"/>
          <w:szCs w:val="20"/>
          <w:vertAlign w:val="subscript"/>
        </w:rPr>
        <w:t xml:space="preserve">OC </w:t>
      </w:r>
      <w:r w:rsidRPr="00482462">
        <w:rPr>
          <w:rFonts w:cs="Arial"/>
          <w:color w:val="000000"/>
          <w:sz w:val="20"/>
          <w:szCs w:val="20"/>
        </w:rPr>
        <w:t>(</w:t>
      </w:r>
      <w:r w:rsidRPr="00482462">
        <w:rPr>
          <w:rFonts w:cs="Arial"/>
          <w:sz w:val="20"/>
          <w:szCs w:val="20"/>
        </w:rPr>
        <w:t>organický uhlík / rozdělovací koeficient voda) znečišťující látky)</w:t>
      </w:r>
    </w:p>
    <w:p w14:paraId="62CA00FB" w14:textId="77777777" w:rsidR="008D4678" w:rsidRPr="00482462" w:rsidRDefault="008D4678" w:rsidP="008D4678">
      <w:pPr>
        <w:spacing w:before="80"/>
        <w:ind w:left="1843" w:hanging="1049"/>
        <w:rPr>
          <w:rFonts w:cs="Arial"/>
          <w:color w:val="000000"/>
          <w:sz w:val="20"/>
          <w:szCs w:val="20"/>
        </w:rPr>
      </w:pPr>
      <w:r w:rsidRPr="00482462">
        <w:rPr>
          <w:rFonts w:cs="Arial"/>
          <w:i/>
          <w:color w:val="000000"/>
          <w:sz w:val="20"/>
          <w:szCs w:val="20"/>
        </w:rPr>
        <w:t>RHO</w:t>
      </w:r>
      <w:r w:rsidRPr="00482462">
        <w:rPr>
          <w:rFonts w:cs="Arial"/>
          <w:color w:val="000000"/>
          <w:sz w:val="20"/>
          <w:szCs w:val="20"/>
          <w:vertAlign w:val="subscript"/>
        </w:rPr>
        <w:t xml:space="preserve"> sed</w:t>
      </w:r>
      <w:r w:rsidRPr="00482462">
        <w:rPr>
          <w:rFonts w:cs="Arial"/>
          <w:color w:val="000000"/>
          <w:sz w:val="20"/>
          <w:szCs w:val="20"/>
        </w:rPr>
        <w:t>:</w:t>
      </w:r>
      <w:r w:rsidRPr="00482462">
        <w:rPr>
          <w:rFonts w:cs="Arial"/>
          <w:color w:val="000000"/>
          <w:sz w:val="20"/>
          <w:szCs w:val="20"/>
        </w:rPr>
        <w:tab/>
      </w:r>
      <w:r w:rsidRPr="00482462">
        <w:rPr>
          <w:rFonts w:cs="Arial"/>
          <w:sz w:val="20"/>
          <w:szCs w:val="20"/>
        </w:rPr>
        <w:t>prostorová hustota mokrého sedimentu (standardní hodnota:</w:t>
      </w:r>
      <w:r w:rsidRPr="00482462">
        <w:rPr>
          <w:rFonts w:cs="Arial"/>
          <w:color w:val="000000"/>
          <w:sz w:val="20"/>
          <w:szCs w:val="20"/>
        </w:rPr>
        <w:t xml:space="preserve"> 1300 </w:t>
      </w:r>
      <w:proofErr w:type="spellStart"/>
      <w:r w:rsidRPr="00482462">
        <w:rPr>
          <w:rFonts w:cs="Arial"/>
          <w:color w:val="000000"/>
          <w:sz w:val="20"/>
          <w:szCs w:val="20"/>
        </w:rPr>
        <w:t>kg</w:t>
      </w:r>
      <w:r w:rsidRPr="00482462">
        <w:rPr>
          <w:rFonts w:cs="Arial"/>
          <w:color w:val="000000"/>
          <w:sz w:val="20"/>
          <w:szCs w:val="20"/>
          <w:vertAlign w:val="subscript"/>
        </w:rPr>
        <w:t>ww</w:t>
      </w:r>
      <w:proofErr w:type="spellEnd"/>
      <w:r w:rsidRPr="00482462">
        <w:rPr>
          <w:rFonts w:cs="Arial"/>
          <w:color w:val="000000"/>
          <w:sz w:val="20"/>
          <w:szCs w:val="20"/>
          <w:vertAlign w:val="subscript"/>
        </w:rPr>
        <w:t xml:space="preserve"> </w:t>
      </w:r>
      <w:r w:rsidRPr="00482462">
        <w:rPr>
          <w:rFonts w:cs="Arial"/>
          <w:color w:val="000000"/>
          <w:sz w:val="20"/>
          <w:szCs w:val="20"/>
        </w:rPr>
        <w:t>/ m</w:t>
      </w:r>
      <w:r w:rsidRPr="00482462">
        <w:rPr>
          <w:rFonts w:cs="Arial"/>
          <w:color w:val="000000"/>
          <w:sz w:val="20"/>
          <w:szCs w:val="20"/>
          <w:vertAlign w:val="superscript"/>
        </w:rPr>
        <w:t>3</w:t>
      </w:r>
      <w:r w:rsidRPr="00482462">
        <w:rPr>
          <w:rFonts w:cs="Arial"/>
          <w:color w:val="000000"/>
          <w:sz w:val="20"/>
          <w:szCs w:val="20"/>
        </w:rPr>
        <w:t>)</w:t>
      </w:r>
    </w:p>
    <w:p w14:paraId="7A9499C9" w14:textId="77777777" w:rsidR="008D4678" w:rsidRPr="00482462" w:rsidRDefault="008D4678" w:rsidP="008D4678">
      <w:pPr>
        <w:spacing w:before="80"/>
        <w:ind w:left="1843" w:hanging="1276"/>
        <w:rPr>
          <w:rFonts w:cs="Arial"/>
          <w:color w:val="000000"/>
          <w:sz w:val="20"/>
          <w:szCs w:val="20"/>
        </w:rPr>
      </w:pPr>
      <w:r w:rsidRPr="00482462">
        <w:rPr>
          <w:rFonts w:cs="Arial"/>
          <w:i/>
          <w:color w:val="000000"/>
          <w:sz w:val="20"/>
          <w:szCs w:val="20"/>
        </w:rPr>
        <w:t>CONV</w:t>
      </w:r>
      <w:r w:rsidRPr="00482462">
        <w:rPr>
          <w:rFonts w:cs="Arial"/>
          <w:color w:val="000000"/>
          <w:sz w:val="20"/>
          <w:szCs w:val="20"/>
          <w:vertAlign w:val="subscript"/>
        </w:rPr>
        <w:t xml:space="preserve"> sed</w:t>
      </w:r>
      <w:r w:rsidRPr="00482462">
        <w:rPr>
          <w:rFonts w:cs="Arial"/>
          <w:color w:val="000000"/>
          <w:sz w:val="20"/>
          <w:szCs w:val="20"/>
        </w:rPr>
        <w:t>:</w:t>
      </w:r>
      <w:r w:rsidRPr="00482462">
        <w:rPr>
          <w:rFonts w:cs="Arial"/>
          <w:color w:val="000000"/>
          <w:sz w:val="20"/>
          <w:szCs w:val="20"/>
        </w:rPr>
        <w:tab/>
      </w:r>
      <w:r w:rsidRPr="00482462">
        <w:rPr>
          <w:rFonts w:cs="Arial"/>
          <w:sz w:val="20"/>
          <w:szCs w:val="20"/>
        </w:rPr>
        <w:t>přepočítací faktor pro koncentraci sedimentů (hmotnost za mokra vůči hmotnosti za sucha)</w:t>
      </w:r>
      <w:r w:rsidRPr="00482462" w:rsidDel="007559CB">
        <w:rPr>
          <w:rFonts w:cs="Arial"/>
          <w:color w:val="000000"/>
          <w:sz w:val="20"/>
          <w:szCs w:val="20"/>
        </w:rPr>
        <w:t xml:space="preserve"> </w:t>
      </w:r>
    </w:p>
    <w:p w14:paraId="31DCB6D8" w14:textId="77777777" w:rsidR="008D4678" w:rsidRPr="00482462" w:rsidRDefault="008D4678" w:rsidP="008D4678">
      <w:pPr>
        <w:spacing w:line="276" w:lineRule="auto"/>
        <w:rPr>
          <w:rFonts w:cs="Arial"/>
          <w:color w:val="000000"/>
          <w:sz w:val="20"/>
          <w:szCs w:val="20"/>
        </w:rPr>
      </w:pPr>
    </w:p>
    <w:p w14:paraId="7B5F5C00" w14:textId="77777777" w:rsidR="008D4678" w:rsidRPr="00482462" w:rsidRDefault="008D4678" w:rsidP="008D4678">
      <w:pPr>
        <w:spacing w:line="276" w:lineRule="auto"/>
        <w:rPr>
          <w:rFonts w:cs="Arial"/>
          <w:color w:val="000000"/>
          <w:sz w:val="20"/>
          <w:szCs w:val="20"/>
        </w:rPr>
      </w:pPr>
    </w:p>
    <w:p w14:paraId="14595C8C" w14:textId="77777777" w:rsidR="008D4678" w:rsidRPr="00482462" w:rsidRDefault="008D4678" w:rsidP="008D4678">
      <w:pPr>
        <w:rPr>
          <w:rFonts w:cs="Arial"/>
          <w:sz w:val="20"/>
          <w:szCs w:val="20"/>
        </w:rPr>
      </w:pPr>
      <w:r w:rsidRPr="00482462">
        <w:rPr>
          <w:rFonts w:cs="Arial"/>
          <w:sz w:val="20"/>
          <w:szCs w:val="20"/>
        </w:rPr>
        <w:lastRenderedPageBreak/>
        <w:t xml:space="preserve">Mimoto existuje třetí možnost odvodit standardy kvality pro sediment z empirických dat volné krajiny a </w:t>
      </w:r>
      <w:proofErr w:type="spellStart"/>
      <w:r w:rsidRPr="00482462">
        <w:rPr>
          <w:rFonts w:cs="Arial"/>
          <w:sz w:val="20"/>
          <w:szCs w:val="20"/>
        </w:rPr>
        <w:t>mezokosmu</w:t>
      </w:r>
      <w:proofErr w:type="spellEnd"/>
      <w:r w:rsidRPr="00482462">
        <w:rPr>
          <w:rFonts w:cs="Arial"/>
          <w:sz w:val="20"/>
          <w:szCs w:val="20"/>
        </w:rPr>
        <w:t>, např. na základě různých přístupů k odvození prahu TEC (</w:t>
      </w:r>
      <w:proofErr w:type="spellStart"/>
      <w:r w:rsidRPr="00482462">
        <w:rPr>
          <w:rFonts w:cs="Arial"/>
          <w:sz w:val="20"/>
          <w:szCs w:val="20"/>
        </w:rPr>
        <w:t>threshold</w:t>
      </w:r>
      <w:proofErr w:type="spellEnd"/>
      <w:r w:rsidRPr="00482462">
        <w:rPr>
          <w:rFonts w:cs="Arial"/>
          <w:sz w:val="20"/>
          <w:szCs w:val="20"/>
        </w:rPr>
        <w:t xml:space="preserve"> </w:t>
      </w:r>
      <w:proofErr w:type="spellStart"/>
      <w:r w:rsidRPr="00482462">
        <w:rPr>
          <w:rFonts w:cs="Arial"/>
          <w:sz w:val="20"/>
          <w:szCs w:val="20"/>
        </w:rPr>
        <w:t>effect</w:t>
      </w:r>
      <w:proofErr w:type="spellEnd"/>
      <w:r w:rsidRPr="00482462">
        <w:rPr>
          <w:rFonts w:cs="Arial"/>
          <w:sz w:val="20"/>
          <w:szCs w:val="20"/>
        </w:rPr>
        <w:t xml:space="preserve"> </w:t>
      </w:r>
      <w:proofErr w:type="spellStart"/>
      <w:r w:rsidRPr="00482462">
        <w:rPr>
          <w:rFonts w:cs="Arial"/>
          <w:sz w:val="20"/>
          <w:szCs w:val="20"/>
        </w:rPr>
        <w:t>concentration</w:t>
      </w:r>
      <w:proofErr w:type="spellEnd"/>
      <w:r w:rsidRPr="00482462">
        <w:rPr>
          <w:rFonts w:cs="Arial"/>
          <w:sz w:val="20"/>
          <w:szCs w:val="20"/>
        </w:rPr>
        <w:t>).</w:t>
      </w:r>
    </w:p>
    <w:p w14:paraId="434013BE" w14:textId="77777777" w:rsidR="008D4678" w:rsidRPr="00482462" w:rsidRDefault="008D4678" w:rsidP="008D4678">
      <w:pPr>
        <w:spacing w:line="276" w:lineRule="auto"/>
        <w:rPr>
          <w:rFonts w:cs="Arial"/>
          <w:color w:val="000000"/>
          <w:sz w:val="20"/>
          <w:szCs w:val="20"/>
        </w:rPr>
      </w:pPr>
    </w:p>
    <w:p w14:paraId="0C42324C" w14:textId="72AD41A0" w:rsidR="008D4678" w:rsidRPr="00482462" w:rsidRDefault="008D4678" w:rsidP="008D4678">
      <w:pPr>
        <w:spacing w:line="276" w:lineRule="auto"/>
        <w:rPr>
          <w:rFonts w:cs="Arial"/>
          <w:color w:val="000000"/>
          <w:sz w:val="20"/>
          <w:szCs w:val="20"/>
        </w:rPr>
      </w:pPr>
      <w:r w:rsidRPr="00482462">
        <w:rPr>
          <w:rFonts w:cs="Arial"/>
          <w:sz w:val="20"/>
          <w:szCs w:val="20"/>
        </w:rPr>
        <w:t xml:space="preserve">Vedle těchto tří hlavních možností k odvození standardů kvality pro sedimenty, obsahuje TGD č. 27 ještě celou řadu upozornění a návrhů, které by měly nebo mohly být při odvození zohledněny. Například pro znečišťující látky, jejichž biologická dostupnost je ve značné míře závislá na koncentraci organického uhlíku, může být provedeno normování na TOC, např. </w:t>
      </w:r>
      <w:r w:rsidR="00A67D6B">
        <w:rPr>
          <w:rFonts w:cs="Arial"/>
          <w:sz w:val="20"/>
          <w:szCs w:val="20"/>
        </w:rPr>
        <w:t>pomocí</w:t>
      </w:r>
      <w:r w:rsidRPr="00482462">
        <w:rPr>
          <w:rFonts w:cs="Arial"/>
          <w:sz w:val="20"/>
          <w:szCs w:val="20"/>
        </w:rPr>
        <w:t xml:space="preserve"> ekotoxikologických testů kontaktu sedimentů (standard EU: 5 % TOC). Naproti tomu pro kovy mohou být zohledněny koncentrace přirozeného pozadí podle přístupu „</w:t>
      </w:r>
      <w:proofErr w:type="spellStart"/>
      <w:r w:rsidRPr="00482462">
        <w:rPr>
          <w:rFonts w:cs="Arial"/>
          <w:sz w:val="20"/>
          <w:szCs w:val="20"/>
        </w:rPr>
        <w:t>added</w:t>
      </w:r>
      <w:proofErr w:type="spellEnd"/>
      <w:r w:rsidRPr="00482462">
        <w:rPr>
          <w:rFonts w:cs="Arial"/>
          <w:sz w:val="20"/>
          <w:szCs w:val="20"/>
        </w:rPr>
        <w:t xml:space="preserve"> risk </w:t>
      </w:r>
      <w:proofErr w:type="spellStart"/>
      <w:r w:rsidRPr="00482462">
        <w:rPr>
          <w:rFonts w:cs="Arial"/>
          <w:sz w:val="20"/>
          <w:szCs w:val="20"/>
        </w:rPr>
        <w:t>approach</w:t>
      </w:r>
      <w:proofErr w:type="spellEnd"/>
      <w:r w:rsidRPr="00482462">
        <w:rPr>
          <w:rFonts w:cs="Arial"/>
          <w:sz w:val="20"/>
          <w:szCs w:val="20"/>
        </w:rPr>
        <w:t>“. Tento přístup je založen na předpokladu, že společenstva se v zásadě přizpůsobila koncentracím přirozeného pozadí a rizikovým se stává pouze doplňující antropogenní podíl.</w:t>
      </w:r>
    </w:p>
    <w:p w14:paraId="62905204" w14:textId="77777777" w:rsidR="008D4678" w:rsidRPr="00482462" w:rsidRDefault="008D4678" w:rsidP="008D4678">
      <w:pPr>
        <w:spacing w:line="276" w:lineRule="auto"/>
        <w:rPr>
          <w:rFonts w:cs="Arial"/>
          <w:color w:val="000000"/>
          <w:sz w:val="20"/>
          <w:szCs w:val="20"/>
        </w:rPr>
      </w:pPr>
    </w:p>
    <w:p w14:paraId="55A75D6F" w14:textId="77777777" w:rsidR="00482462" w:rsidRPr="00482462" w:rsidRDefault="00482462" w:rsidP="008D4678">
      <w:pPr>
        <w:spacing w:line="276" w:lineRule="auto"/>
        <w:rPr>
          <w:rFonts w:cs="Arial"/>
          <w:color w:val="000000"/>
          <w:sz w:val="20"/>
          <w:szCs w:val="20"/>
        </w:rPr>
      </w:pPr>
    </w:p>
    <w:p w14:paraId="10B86071" w14:textId="77777777" w:rsidR="008D4678" w:rsidRPr="00482462" w:rsidRDefault="008D4678" w:rsidP="008D4678">
      <w:pPr>
        <w:spacing w:after="120" w:line="276" w:lineRule="auto"/>
        <w:rPr>
          <w:rFonts w:cs="Arial"/>
          <w:b/>
          <w:i/>
          <w:color w:val="000000"/>
          <w:sz w:val="18"/>
          <w:szCs w:val="18"/>
        </w:rPr>
      </w:pPr>
      <w:r w:rsidRPr="00482462">
        <w:rPr>
          <w:rFonts w:cs="Arial"/>
          <w:b/>
          <w:i/>
          <w:color w:val="000000"/>
          <w:sz w:val="18"/>
          <w:szCs w:val="18"/>
        </w:rPr>
        <w:t xml:space="preserve">Tab. 2: </w:t>
      </w:r>
      <w:r w:rsidRPr="00482462">
        <w:rPr>
          <w:rFonts w:cs="Arial"/>
          <w:b/>
          <w:i/>
          <w:sz w:val="18"/>
          <w:szCs w:val="18"/>
        </w:rPr>
        <w:t>Odborné podklady pro</w:t>
      </w:r>
      <w:r w:rsidRPr="00482462">
        <w:rPr>
          <w:rFonts w:cs="Arial"/>
          <w:b/>
          <w:i/>
          <w:color w:val="000000"/>
          <w:sz w:val="18"/>
          <w:szCs w:val="18"/>
        </w:rPr>
        <w:t xml:space="preserve"> </w:t>
      </w:r>
      <w:proofErr w:type="spellStart"/>
      <w:r w:rsidRPr="00482462">
        <w:rPr>
          <w:rFonts w:cs="Arial"/>
          <w:b/>
          <w:i/>
          <w:color w:val="000000"/>
          <w:sz w:val="18"/>
          <w:szCs w:val="18"/>
        </w:rPr>
        <w:t>NEK</w:t>
      </w:r>
      <w:r w:rsidRPr="00482462">
        <w:rPr>
          <w:rFonts w:cs="Arial"/>
          <w:b/>
          <w:i/>
          <w:color w:val="000000"/>
          <w:sz w:val="18"/>
          <w:szCs w:val="18"/>
          <w:vertAlign w:val="subscript"/>
        </w:rPr>
        <w:t>sediment</w:t>
      </w:r>
      <w:proofErr w:type="spellEnd"/>
      <w:r w:rsidRPr="00482462">
        <w:rPr>
          <w:rFonts w:cs="Arial"/>
          <w:b/>
          <w:i/>
          <w:color w:val="000000"/>
          <w:sz w:val="18"/>
          <w:szCs w:val="18"/>
        </w:rPr>
        <w:t xml:space="preserve"> </w:t>
      </w:r>
      <w:r w:rsidRPr="00482462">
        <w:rPr>
          <w:rFonts w:cs="Arial"/>
          <w:b/>
          <w:i/>
          <w:sz w:val="18"/>
          <w:szCs w:val="18"/>
        </w:rPr>
        <w:t>nařízení vlády</w:t>
      </w:r>
      <w:r w:rsidRPr="00482462">
        <w:rPr>
          <w:rFonts w:cs="Arial"/>
          <w:b/>
          <w:i/>
          <w:color w:val="000000"/>
          <w:sz w:val="18"/>
          <w:szCs w:val="18"/>
        </w:rPr>
        <w:t xml:space="preserve"> 23/2011 Sb.</w:t>
      </w:r>
    </w:p>
    <w:tbl>
      <w:tblPr>
        <w:tblStyle w:val="TableNormal"/>
        <w:tblW w:w="934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76"/>
        <w:gridCol w:w="992"/>
        <w:gridCol w:w="1134"/>
        <w:gridCol w:w="1134"/>
        <w:gridCol w:w="4810"/>
      </w:tblGrid>
      <w:tr w:rsidR="008D4678" w:rsidRPr="004213E1" w14:paraId="48B1F6D5" w14:textId="77777777" w:rsidTr="00482462">
        <w:trPr>
          <w:trHeight w:hRule="exact" w:val="340"/>
        </w:trPr>
        <w:tc>
          <w:tcPr>
            <w:tcW w:w="1276" w:type="dxa"/>
            <w:shd w:val="clear" w:color="auto" w:fill="818181"/>
            <w:vAlign w:val="center"/>
          </w:tcPr>
          <w:p w14:paraId="0C587EDC" w14:textId="77777777" w:rsidR="008D4678" w:rsidRPr="004213E1" w:rsidRDefault="008D4678" w:rsidP="000A162D">
            <w:pPr>
              <w:pStyle w:val="TableParagraph"/>
              <w:spacing w:before="99"/>
              <w:jc w:val="center"/>
              <w:rPr>
                <w:rFonts w:ascii="Arial" w:eastAsia="Arial" w:hAnsi="Arial" w:cs="Arial"/>
                <w:sz w:val="18"/>
                <w:szCs w:val="18"/>
                <w:lang w:val="cs-CZ"/>
              </w:rPr>
            </w:pPr>
            <w:r w:rsidRPr="004213E1">
              <w:rPr>
                <w:rFonts w:ascii="Arial" w:hAnsi="Arial" w:cs="Arial"/>
                <w:b/>
                <w:color w:val="FFFFFF"/>
                <w:spacing w:val="-1"/>
                <w:sz w:val="18"/>
                <w:szCs w:val="18"/>
                <w:lang w:val="cs-CZ"/>
              </w:rPr>
              <w:t>Látka</w:t>
            </w:r>
          </w:p>
        </w:tc>
        <w:tc>
          <w:tcPr>
            <w:tcW w:w="992" w:type="dxa"/>
            <w:shd w:val="clear" w:color="auto" w:fill="818181"/>
            <w:vAlign w:val="center"/>
          </w:tcPr>
          <w:p w14:paraId="3A076D0D" w14:textId="77777777" w:rsidR="008D4678" w:rsidRPr="004213E1" w:rsidRDefault="008D4678" w:rsidP="000A162D">
            <w:pPr>
              <w:pStyle w:val="TableParagraph"/>
              <w:tabs>
                <w:tab w:val="left" w:pos="992"/>
              </w:tabs>
              <w:spacing w:line="256" w:lineRule="auto"/>
              <w:jc w:val="center"/>
              <w:rPr>
                <w:rFonts w:ascii="Arial" w:eastAsia="Arial" w:hAnsi="Arial" w:cs="Arial"/>
                <w:b/>
                <w:sz w:val="18"/>
                <w:szCs w:val="18"/>
                <w:lang w:val="cs-CZ"/>
              </w:rPr>
            </w:pPr>
            <w:r w:rsidRPr="004213E1">
              <w:rPr>
                <w:rFonts w:ascii="Arial" w:eastAsia="Arial" w:hAnsi="Arial" w:cs="Arial"/>
                <w:b/>
                <w:color w:val="FFFFFF" w:themeColor="background1"/>
                <w:sz w:val="18"/>
                <w:szCs w:val="18"/>
                <w:lang w:val="cs-CZ"/>
              </w:rPr>
              <w:t>Jednotka</w:t>
            </w:r>
          </w:p>
        </w:tc>
        <w:tc>
          <w:tcPr>
            <w:tcW w:w="1134" w:type="dxa"/>
            <w:shd w:val="clear" w:color="auto" w:fill="808080" w:themeFill="background1" w:themeFillShade="80"/>
            <w:vAlign w:val="center"/>
          </w:tcPr>
          <w:p w14:paraId="49EF6F3A" w14:textId="77777777" w:rsidR="008D4678" w:rsidRPr="004213E1" w:rsidRDefault="008D4678" w:rsidP="00482462">
            <w:pPr>
              <w:pStyle w:val="TableParagraph"/>
              <w:spacing w:before="90" w:line="254" w:lineRule="auto"/>
              <w:ind w:left="101" w:right="106" w:hanging="2"/>
              <w:jc w:val="center"/>
              <w:rPr>
                <w:rFonts w:ascii="Arial" w:hAnsi="Arial" w:cs="Arial"/>
                <w:b/>
                <w:spacing w:val="-1"/>
                <w:sz w:val="18"/>
                <w:szCs w:val="18"/>
                <w:lang w:val="cs-CZ"/>
              </w:rPr>
            </w:pPr>
            <w:proofErr w:type="spellStart"/>
            <w:r w:rsidRPr="004213E1">
              <w:rPr>
                <w:rFonts w:ascii="Arial" w:hAnsi="Arial" w:cs="Arial"/>
                <w:b/>
                <w:color w:val="FFFFFF" w:themeColor="background1"/>
                <w:spacing w:val="-1"/>
                <w:sz w:val="18"/>
                <w:szCs w:val="18"/>
                <w:lang w:val="cs-CZ"/>
              </w:rPr>
              <w:t>NEK</w:t>
            </w:r>
            <w:r w:rsidRPr="004213E1">
              <w:rPr>
                <w:rFonts w:ascii="Arial" w:hAnsi="Arial" w:cs="Arial"/>
                <w:b/>
                <w:color w:val="FFFFFF" w:themeColor="background1"/>
                <w:spacing w:val="-1"/>
                <w:sz w:val="18"/>
                <w:szCs w:val="18"/>
                <w:vertAlign w:val="subscript"/>
                <w:lang w:val="cs-CZ"/>
              </w:rPr>
              <w:t>sediment</w:t>
            </w:r>
            <w:proofErr w:type="spellEnd"/>
          </w:p>
        </w:tc>
        <w:tc>
          <w:tcPr>
            <w:tcW w:w="5944" w:type="dxa"/>
            <w:gridSpan w:val="2"/>
            <w:shd w:val="clear" w:color="auto" w:fill="818181"/>
            <w:vAlign w:val="center"/>
          </w:tcPr>
          <w:p w14:paraId="018AE64E" w14:textId="77777777" w:rsidR="008D4678" w:rsidRPr="004213E1" w:rsidRDefault="008D4678" w:rsidP="000A162D">
            <w:pPr>
              <w:pStyle w:val="TableParagraph"/>
              <w:jc w:val="center"/>
              <w:rPr>
                <w:rFonts w:ascii="Arial" w:eastAsia="Calibri" w:hAnsi="Arial" w:cs="Arial"/>
                <w:b/>
                <w:bCs/>
                <w:sz w:val="18"/>
                <w:szCs w:val="18"/>
                <w:lang w:val="cs-CZ"/>
              </w:rPr>
            </w:pPr>
            <w:r w:rsidRPr="004213E1">
              <w:rPr>
                <w:rFonts w:ascii="Arial" w:hAnsi="Arial" w:cs="Arial"/>
                <w:b/>
                <w:color w:val="FFFFFF"/>
                <w:spacing w:val="-1"/>
                <w:sz w:val="18"/>
                <w:szCs w:val="18"/>
                <w:lang w:val="cs-CZ"/>
              </w:rPr>
              <w:t>Zdroj</w:t>
            </w:r>
          </w:p>
        </w:tc>
      </w:tr>
      <w:tr w:rsidR="008D4678" w:rsidRPr="004213E1" w14:paraId="6A97F790" w14:textId="77777777" w:rsidTr="00482462">
        <w:trPr>
          <w:trHeight w:val="340"/>
        </w:trPr>
        <w:tc>
          <w:tcPr>
            <w:tcW w:w="1276" w:type="dxa"/>
            <w:vAlign w:val="center"/>
          </w:tcPr>
          <w:p w14:paraId="6E572191" w14:textId="77777777" w:rsidR="008D4678" w:rsidRPr="004213E1" w:rsidRDefault="008D4678" w:rsidP="000A162D">
            <w:pPr>
              <w:pStyle w:val="TableParagraph"/>
              <w:spacing w:before="8"/>
              <w:ind w:left="142"/>
              <w:rPr>
                <w:rFonts w:ascii="Arial" w:eastAsia="Arial" w:hAnsi="Arial" w:cs="Arial"/>
                <w:sz w:val="18"/>
                <w:szCs w:val="18"/>
                <w:lang w:val="cs-CZ"/>
              </w:rPr>
            </w:pPr>
            <w:proofErr w:type="spellStart"/>
            <w:r w:rsidRPr="004213E1">
              <w:rPr>
                <w:rFonts w:ascii="Arial" w:hAnsi="Arial" w:cs="Arial"/>
                <w:b/>
                <w:spacing w:val="-1"/>
                <w:sz w:val="18"/>
                <w:szCs w:val="18"/>
                <w:lang w:val="cs-CZ"/>
              </w:rPr>
              <w:t>Hg</w:t>
            </w:r>
            <w:proofErr w:type="spellEnd"/>
          </w:p>
        </w:tc>
        <w:tc>
          <w:tcPr>
            <w:tcW w:w="992" w:type="dxa"/>
            <w:vAlign w:val="center"/>
          </w:tcPr>
          <w:p w14:paraId="1FAFBB54" w14:textId="77777777" w:rsidR="008D4678" w:rsidRPr="004213E1" w:rsidRDefault="008D4678" w:rsidP="000A162D">
            <w:pPr>
              <w:pStyle w:val="TableParagraph"/>
              <w:spacing w:before="8"/>
              <w:jc w:val="center"/>
              <w:rPr>
                <w:rFonts w:ascii="Arial" w:eastAsia="Arial" w:hAnsi="Arial" w:cs="Arial"/>
                <w:sz w:val="18"/>
                <w:szCs w:val="18"/>
                <w:lang w:val="cs-CZ"/>
              </w:rPr>
            </w:pPr>
            <w:r w:rsidRPr="004213E1">
              <w:rPr>
                <w:rFonts w:ascii="Arial" w:hAnsi="Arial" w:cs="Arial"/>
                <w:b/>
                <w:spacing w:val="-1"/>
                <w:sz w:val="18"/>
                <w:szCs w:val="18"/>
                <w:lang w:val="cs-CZ"/>
              </w:rPr>
              <w:t>mg/kg</w:t>
            </w:r>
          </w:p>
        </w:tc>
        <w:tc>
          <w:tcPr>
            <w:tcW w:w="1134" w:type="dxa"/>
            <w:shd w:val="clear" w:color="auto" w:fill="auto"/>
            <w:vAlign w:val="center"/>
          </w:tcPr>
          <w:p w14:paraId="33B23E8A" w14:textId="77777777" w:rsidR="008D4678" w:rsidRPr="004213E1" w:rsidRDefault="008D4678" w:rsidP="000A162D">
            <w:pPr>
              <w:pStyle w:val="TableParagraph"/>
              <w:spacing w:before="8"/>
              <w:ind w:left="12"/>
              <w:jc w:val="center"/>
              <w:rPr>
                <w:rFonts w:ascii="Arial" w:eastAsia="Arial" w:hAnsi="Arial" w:cs="Arial"/>
                <w:sz w:val="18"/>
                <w:szCs w:val="18"/>
                <w:lang w:val="cs-CZ"/>
              </w:rPr>
            </w:pPr>
            <w:r w:rsidRPr="004213E1">
              <w:rPr>
                <w:rFonts w:ascii="Arial" w:hAnsi="Arial" w:cs="Arial"/>
                <w:b/>
                <w:spacing w:val="-1"/>
                <w:sz w:val="18"/>
                <w:szCs w:val="18"/>
                <w:lang w:val="cs-CZ"/>
              </w:rPr>
              <w:t>0,47</w:t>
            </w:r>
          </w:p>
        </w:tc>
        <w:tc>
          <w:tcPr>
            <w:tcW w:w="1134" w:type="dxa"/>
            <w:shd w:val="clear" w:color="auto" w:fill="auto"/>
            <w:vAlign w:val="center"/>
          </w:tcPr>
          <w:p w14:paraId="5815F060" w14:textId="77777777" w:rsidR="008D4678" w:rsidRPr="004213E1" w:rsidRDefault="008D4678" w:rsidP="000A162D">
            <w:pPr>
              <w:pStyle w:val="TableParagraph"/>
              <w:spacing w:before="4"/>
              <w:ind w:right="1"/>
              <w:jc w:val="center"/>
              <w:rPr>
                <w:rFonts w:ascii="Arial" w:eastAsia="Calibri" w:hAnsi="Arial" w:cs="Arial"/>
                <w:sz w:val="18"/>
                <w:szCs w:val="18"/>
                <w:lang w:val="cs-CZ"/>
              </w:rPr>
            </w:pPr>
            <w:r w:rsidRPr="004213E1">
              <w:rPr>
                <w:rFonts w:ascii="Arial" w:hAnsi="Arial" w:cs="Arial"/>
                <w:w w:val="105"/>
                <w:sz w:val="18"/>
                <w:szCs w:val="18"/>
                <w:lang w:val="cs-CZ"/>
              </w:rPr>
              <w:t>23/2011</w:t>
            </w:r>
            <w:r w:rsidRPr="004213E1">
              <w:rPr>
                <w:rFonts w:ascii="Arial" w:hAnsi="Arial" w:cs="Arial"/>
                <w:spacing w:val="-22"/>
                <w:w w:val="105"/>
                <w:sz w:val="18"/>
                <w:szCs w:val="18"/>
                <w:lang w:val="cs-CZ"/>
              </w:rPr>
              <w:t xml:space="preserve"> </w:t>
            </w:r>
            <w:r w:rsidRPr="004213E1">
              <w:rPr>
                <w:rFonts w:ascii="Arial" w:hAnsi="Arial" w:cs="Arial"/>
                <w:spacing w:val="-1"/>
                <w:w w:val="105"/>
                <w:sz w:val="18"/>
                <w:szCs w:val="18"/>
                <w:lang w:val="cs-CZ"/>
              </w:rPr>
              <w:t>Sb.</w:t>
            </w:r>
          </w:p>
        </w:tc>
        <w:tc>
          <w:tcPr>
            <w:tcW w:w="4810" w:type="dxa"/>
            <w:shd w:val="clear" w:color="auto" w:fill="auto"/>
            <w:vAlign w:val="center"/>
          </w:tcPr>
          <w:p w14:paraId="5CB36E36" w14:textId="77777777" w:rsidR="008D4678" w:rsidRPr="004213E1" w:rsidRDefault="00C359A8" w:rsidP="000A162D">
            <w:pPr>
              <w:pStyle w:val="TableParagraph"/>
              <w:spacing w:before="4"/>
              <w:ind w:left="142" w:right="1"/>
              <w:rPr>
                <w:rStyle w:val="Hypertextovodkaz"/>
                <w:rFonts w:cs="Arial"/>
                <w:color w:val="0000FF"/>
                <w:sz w:val="18"/>
                <w:szCs w:val="18"/>
                <w:u w:val="single"/>
              </w:rPr>
            </w:pPr>
            <w:hyperlink r:id="rId14" w:history="1">
              <w:r w:rsidR="008D4678" w:rsidRPr="004213E1">
                <w:rPr>
                  <w:rStyle w:val="Hypertextovodkaz"/>
                  <w:rFonts w:cs="Arial"/>
                  <w:color w:val="0000FF"/>
                  <w:w w:val="105"/>
                  <w:sz w:val="18"/>
                  <w:szCs w:val="18"/>
                  <w:u w:val="single"/>
                </w:rPr>
                <w:t>CIS for WFD, EQS Data Sheet, Brussels, 15.01.2005</w:t>
              </w:r>
            </w:hyperlink>
          </w:p>
        </w:tc>
      </w:tr>
      <w:tr w:rsidR="008D4678" w:rsidRPr="004213E1" w14:paraId="5AEE13F4" w14:textId="77777777" w:rsidTr="00482462">
        <w:trPr>
          <w:trHeight w:val="340"/>
        </w:trPr>
        <w:tc>
          <w:tcPr>
            <w:tcW w:w="1276" w:type="dxa"/>
            <w:shd w:val="clear" w:color="auto" w:fill="DADADA"/>
            <w:vAlign w:val="center"/>
          </w:tcPr>
          <w:p w14:paraId="6301495E" w14:textId="77777777" w:rsidR="008D4678" w:rsidRPr="004213E1" w:rsidRDefault="008D4678" w:rsidP="000A162D">
            <w:pPr>
              <w:pStyle w:val="TableParagraph"/>
              <w:spacing w:before="8"/>
              <w:ind w:left="142"/>
              <w:rPr>
                <w:rFonts w:ascii="Arial" w:eastAsia="Arial" w:hAnsi="Arial" w:cs="Arial"/>
                <w:sz w:val="18"/>
                <w:szCs w:val="18"/>
                <w:lang w:val="cs-CZ"/>
              </w:rPr>
            </w:pPr>
            <w:r w:rsidRPr="004213E1">
              <w:rPr>
                <w:rFonts w:ascii="Arial" w:hAnsi="Arial" w:cs="Arial"/>
                <w:b/>
                <w:spacing w:val="-1"/>
                <w:sz w:val="18"/>
                <w:szCs w:val="18"/>
                <w:lang w:val="cs-CZ"/>
              </w:rPr>
              <w:t>Cd</w:t>
            </w:r>
          </w:p>
        </w:tc>
        <w:tc>
          <w:tcPr>
            <w:tcW w:w="992" w:type="dxa"/>
            <w:shd w:val="clear" w:color="auto" w:fill="DADADA"/>
            <w:vAlign w:val="center"/>
          </w:tcPr>
          <w:p w14:paraId="4368973B" w14:textId="77777777" w:rsidR="008D4678" w:rsidRPr="004213E1" w:rsidRDefault="008D4678" w:rsidP="000A162D">
            <w:pPr>
              <w:pStyle w:val="TableParagraph"/>
              <w:spacing w:before="8"/>
              <w:jc w:val="center"/>
              <w:rPr>
                <w:rFonts w:ascii="Arial" w:eastAsia="Arial" w:hAnsi="Arial" w:cs="Arial"/>
                <w:sz w:val="18"/>
                <w:szCs w:val="18"/>
                <w:lang w:val="cs-CZ"/>
              </w:rPr>
            </w:pPr>
            <w:r w:rsidRPr="004213E1">
              <w:rPr>
                <w:rFonts w:ascii="Arial" w:hAnsi="Arial" w:cs="Arial"/>
                <w:b/>
                <w:spacing w:val="-1"/>
                <w:sz w:val="18"/>
                <w:szCs w:val="18"/>
                <w:lang w:val="cs-CZ"/>
              </w:rPr>
              <w:t>mg/kg</w:t>
            </w:r>
          </w:p>
        </w:tc>
        <w:tc>
          <w:tcPr>
            <w:tcW w:w="1134" w:type="dxa"/>
            <w:shd w:val="clear" w:color="auto" w:fill="DADADA"/>
            <w:vAlign w:val="center"/>
          </w:tcPr>
          <w:p w14:paraId="1E7E847C" w14:textId="77777777" w:rsidR="008D4678" w:rsidRPr="004213E1" w:rsidRDefault="008D4678" w:rsidP="000A162D">
            <w:pPr>
              <w:pStyle w:val="TableParagraph"/>
              <w:spacing w:before="8"/>
              <w:ind w:left="11"/>
              <w:jc w:val="center"/>
              <w:rPr>
                <w:rFonts w:ascii="Arial" w:eastAsia="Arial" w:hAnsi="Arial" w:cs="Arial"/>
                <w:sz w:val="18"/>
                <w:szCs w:val="18"/>
                <w:lang w:val="cs-CZ"/>
              </w:rPr>
            </w:pPr>
            <w:r w:rsidRPr="004213E1">
              <w:rPr>
                <w:rFonts w:ascii="Arial" w:hAnsi="Arial" w:cs="Arial"/>
                <w:b/>
                <w:spacing w:val="-1"/>
                <w:sz w:val="18"/>
                <w:szCs w:val="18"/>
                <w:lang w:val="cs-CZ"/>
              </w:rPr>
              <w:t>2,3</w:t>
            </w:r>
          </w:p>
        </w:tc>
        <w:tc>
          <w:tcPr>
            <w:tcW w:w="1134" w:type="dxa"/>
            <w:shd w:val="clear" w:color="auto" w:fill="DADADA"/>
            <w:vAlign w:val="center"/>
          </w:tcPr>
          <w:p w14:paraId="76AD388C" w14:textId="77777777" w:rsidR="008D4678" w:rsidRPr="004213E1" w:rsidRDefault="008D4678" w:rsidP="000A162D">
            <w:pPr>
              <w:pStyle w:val="TableParagraph"/>
              <w:spacing w:before="4"/>
              <w:ind w:right="1"/>
              <w:jc w:val="center"/>
              <w:rPr>
                <w:rFonts w:ascii="Arial" w:eastAsia="Calibri" w:hAnsi="Arial" w:cs="Arial"/>
                <w:sz w:val="18"/>
                <w:szCs w:val="18"/>
                <w:lang w:val="cs-CZ"/>
              </w:rPr>
            </w:pPr>
            <w:r w:rsidRPr="004213E1">
              <w:rPr>
                <w:rFonts w:ascii="Arial" w:hAnsi="Arial" w:cs="Arial"/>
                <w:w w:val="105"/>
                <w:sz w:val="18"/>
                <w:szCs w:val="18"/>
                <w:lang w:val="cs-CZ"/>
              </w:rPr>
              <w:t>23/2011</w:t>
            </w:r>
            <w:r w:rsidRPr="004213E1">
              <w:rPr>
                <w:rFonts w:ascii="Arial" w:hAnsi="Arial" w:cs="Arial"/>
                <w:spacing w:val="-22"/>
                <w:w w:val="105"/>
                <w:sz w:val="18"/>
                <w:szCs w:val="18"/>
                <w:lang w:val="cs-CZ"/>
              </w:rPr>
              <w:t xml:space="preserve"> </w:t>
            </w:r>
            <w:r w:rsidRPr="004213E1">
              <w:rPr>
                <w:rFonts w:ascii="Arial" w:hAnsi="Arial" w:cs="Arial"/>
                <w:spacing w:val="-1"/>
                <w:w w:val="105"/>
                <w:sz w:val="18"/>
                <w:szCs w:val="18"/>
                <w:lang w:val="cs-CZ"/>
              </w:rPr>
              <w:t>Sb.</w:t>
            </w:r>
          </w:p>
        </w:tc>
        <w:tc>
          <w:tcPr>
            <w:tcW w:w="4810" w:type="dxa"/>
            <w:shd w:val="clear" w:color="auto" w:fill="DADADA"/>
            <w:vAlign w:val="center"/>
          </w:tcPr>
          <w:p w14:paraId="6E5F5934" w14:textId="77777777" w:rsidR="008D4678" w:rsidRPr="004213E1" w:rsidRDefault="00C359A8" w:rsidP="000A162D">
            <w:pPr>
              <w:pStyle w:val="TableParagraph"/>
              <w:spacing w:before="4"/>
              <w:ind w:left="142" w:right="1"/>
              <w:rPr>
                <w:rStyle w:val="Hypertextovodkaz"/>
                <w:rFonts w:cs="Arial"/>
                <w:color w:val="0000FF"/>
                <w:sz w:val="18"/>
                <w:szCs w:val="18"/>
                <w:u w:val="single"/>
              </w:rPr>
            </w:pPr>
            <w:hyperlink r:id="rId15" w:history="1">
              <w:r w:rsidR="008D4678" w:rsidRPr="004213E1">
                <w:rPr>
                  <w:rStyle w:val="Hypertextovodkaz"/>
                  <w:rFonts w:cs="Arial"/>
                  <w:color w:val="0000FF"/>
                  <w:w w:val="105"/>
                  <w:sz w:val="18"/>
                  <w:szCs w:val="18"/>
                  <w:u w:val="single"/>
                </w:rPr>
                <w:t>CIS for WFD, EQS Data Sheet, Brussels, 31.07.2005</w:t>
              </w:r>
            </w:hyperlink>
          </w:p>
        </w:tc>
      </w:tr>
      <w:tr w:rsidR="008D4678" w:rsidRPr="004213E1" w14:paraId="38E45479" w14:textId="77777777" w:rsidTr="00482462">
        <w:trPr>
          <w:trHeight w:val="340"/>
        </w:trPr>
        <w:tc>
          <w:tcPr>
            <w:tcW w:w="1276" w:type="dxa"/>
            <w:vAlign w:val="center"/>
          </w:tcPr>
          <w:p w14:paraId="7A805F6A" w14:textId="77777777" w:rsidR="008D4678" w:rsidRPr="004213E1" w:rsidRDefault="008D4678" w:rsidP="000A162D">
            <w:pPr>
              <w:pStyle w:val="TableParagraph"/>
              <w:spacing w:before="8"/>
              <w:ind w:left="142"/>
              <w:rPr>
                <w:rFonts w:ascii="Arial" w:eastAsia="Arial" w:hAnsi="Arial" w:cs="Arial"/>
                <w:sz w:val="18"/>
                <w:szCs w:val="18"/>
                <w:lang w:val="cs-CZ"/>
              </w:rPr>
            </w:pPr>
            <w:proofErr w:type="spellStart"/>
            <w:r w:rsidRPr="004213E1">
              <w:rPr>
                <w:rFonts w:ascii="Arial" w:hAnsi="Arial" w:cs="Arial"/>
                <w:b/>
                <w:spacing w:val="-1"/>
                <w:sz w:val="18"/>
                <w:szCs w:val="18"/>
                <w:lang w:val="cs-CZ"/>
              </w:rPr>
              <w:t>Pb</w:t>
            </w:r>
            <w:proofErr w:type="spellEnd"/>
          </w:p>
        </w:tc>
        <w:tc>
          <w:tcPr>
            <w:tcW w:w="992" w:type="dxa"/>
            <w:vAlign w:val="center"/>
          </w:tcPr>
          <w:p w14:paraId="29D9554D" w14:textId="77777777" w:rsidR="008D4678" w:rsidRPr="004213E1" w:rsidRDefault="008D4678" w:rsidP="000A162D">
            <w:pPr>
              <w:pStyle w:val="TableParagraph"/>
              <w:spacing w:before="8"/>
              <w:jc w:val="center"/>
              <w:rPr>
                <w:rFonts w:ascii="Arial" w:eastAsia="Arial" w:hAnsi="Arial" w:cs="Arial"/>
                <w:sz w:val="18"/>
                <w:szCs w:val="18"/>
                <w:lang w:val="cs-CZ"/>
              </w:rPr>
            </w:pPr>
            <w:r w:rsidRPr="004213E1">
              <w:rPr>
                <w:rFonts w:ascii="Arial" w:hAnsi="Arial" w:cs="Arial"/>
                <w:b/>
                <w:spacing w:val="-1"/>
                <w:sz w:val="18"/>
                <w:szCs w:val="18"/>
                <w:lang w:val="cs-CZ"/>
              </w:rPr>
              <w:t>mg/kg</w:t>
            </w:r>
          </w:p>
        </w:tc>
        <w:tc>
          <w:tcPr>
            <w:tcW w:w="1134" w:type="dxa"/>
            <w:shd w:val="clear" w:color="auto" w:fill="auto"/>
            <w:vAlign w:val="center"/>
          </w:tcPr>
          <w:p w14:paraId="11AA451D" w14:textId="77777777" w:rsidR="008D4678" w:rsidRPr="004213E1" w:rsidRDefault="008D4678" w:rsidP="000A162D">
            <w:pPr>
              <w:pStyle w:val="TableParagraph"/>
              <w:spacing w:before="8"/>
              <w:ind w:left="11"/>
              <w:jc w:val="center"/>
              <w:rPr>
                <w:rFonts w:ascii="Arial" w:eastAsia="Arial" w:hAnsi="Arial" w:cs="Arial"/>
                <w:sz w:val="18"/>
                <w:szCs w:val="18"/>
                <w:lang w:val="cs-CZ"/>
              </w:rPr>
            </w:pPr>
            <w:r w:rsidRPr="004213E1">
              <w:rPr>
                <w:rFonts w:ascii="Arial" w:hAnsi="Arial" w:cs="Arial"/>
                <w:b/>
                <w:spacing w:val="-1"/>
                <w:sz w:val="18"/>
                <w:szCs w:val="18"/>
                <w:lang w:val="cs-CZ"/>
              </w:rPr>
              <w:t>53</w:t>
            </w:r>
          </w:p>
        </w:tc>
        <w:tc>
          <w:tcPr>
            <w:tcW w:w="1134" w:type="dxa"/>
            <w:shd w:val="clear" w:color="auto" w:fill="auto"/>
            <w:vAlign w:val="center"/>
          </w:tcPr>
          <w:p w14:paraId="4C2A30B7" w14:textId="77777777" w:rsidR="008D4678" w:rsidRPr="004213E1" w:rsidRDefault="008D4678" w:rsidP="000A162D">
            <w:pPr>
              <w:pStyle w:val="TableParagraph"/>
              <w:spacing w:before="4"/>
              <w:ind w:right="1"/>
              <w:jc w:val="center"/>
              <w:rPr>
                <w:rFonts w:ascii="Arial" w:eastAsia="Calibri" w:hAnsi="Arial" w:cs="Arial"/>
                <w:sz w:val="18"/>
                <w:szCs w:val="18"/>
                <w:lang w:val="cs-CZ"/>
              </w:rPr>
            </w:pPr>
            <w:r w:rsidRPr="004213E1">
              <w:rPr>
                <w:rFonts w:ascii="Arial" w:hAnsi="Arial" w:cs="Arial"/>
                <w:w w:val="105"/>
                <w:sz w:val="18"/>
                <w:szCs w:val="18"/>
                <w:lang w:val="cs-CZ"/>
              </w:rPr>
              <w:t>23/2011</w:t>
            </w:r>
            <w:r w:rsidRPr="004213E1">
              <w:rPr>
                <w:rFonts w:ascii="Arial" w:hAnsi="Arial" w:cs="Arial"/>
                <w:spacing w:val="-22"/>
                <w:w w:val="105"/>
                <w:sz w:val="18"/>
                <w:szCs w:val="18"/>
                <w:lang w:val="cs-CZ"/>
              </w:rPr>
              <w:t xml:space="preserve"> </w:t>
            </w:r>
            <w:r w:rsidRPr="004213E1">
              <w:rPr>
                <w:rFonts w:ascii="Arial" w:hAnsi="Arial" w:cs="Arial"/>
                <w:spacing w:val="-1"/>
                <w:w w:val="105"/>
                <w:sz w:val="18"/>
                <w:szCs w:val="18"/>
                <w:lang w:val="cs-CZ"/>
              </w:rPr>
              <w:t>Sb.</w:t>
            </w:r>
          </w:p>
        </w:tc>
        <w:tc>
          <w:tcPr>
            <w:tcW w:w="4810" w:type="dxa"/>
            <w:shd w:val="clear" w:color="auto" w:fill="auto"/>
            <w:vAlign w:val="center"/>
          </w:tcPr>
          <w:p w14:paraId="099BCBC1" w14:textId="77777777" w:rsidR="008D4678" w:rsidRPr="004213E1" w:rsidRDefault="00C359A8" w:rsidP="000A162D">
            <w:pPr>
              <w:pStyle w:val="TableParagraph"/>
              <w:spacing w:before="4"/>
              <w:ind w:left="142" w:right="1"/>
              <w:rPr>
                <w:rStyle w:val="Hypertextovodkaz"/>
                <w:rFonts w:cs="Arial"/>
                <w:color w:val="0000FF"/>
                <w:sz w:val="18"/>
                <w:szCs w:val="18"/>
                <w:u w:val="single"/>
              </w:rPr>
            </w:pPr>
            <w:hyperlink r:id="rId16" w:history="1">
              <w:r w:rsidR="008D4678" w:rsidRPr="004213E1">
                <w:rPr>
                  <w:rStyle w:val="Hypertextovodkaz"/>
                  <w:rFonts w:cs="Arial"/>
                  <w:color w:val="0000FF"/>
                  <w:w w:val="105"/>
                  <w:sz w:val="18"/>
                  <w:szCs w:val="18"/>
                  <w:u w:val="single"/>
                </w:rPr>
                <w:t>CIS for WFD, EQS Data Sheet, Brussels, 31.07.2005</w:t>
              </w:r>
            </w:hyperlink>
          </w:p>
        </w:tc>
      </w:tr>
      <w:tr w:rsidR="008D4678" w:rsidRPr="004213E1" w14:paraId="45C30A08" w14:textId="77777777" w:rsidTr="00482462">
        <w:trPr>
          <w:trHeight w:val="340"/>
        </w:trPr>
        <w:tc>
          <w:tcPr>
            <w:tcW w:w="1276" w:type="dxa"/>
            <w:shd w:val="clear" w:color="auto" w:fill="DADADA"/>
            <w:vAlign w:val="center"/>
          </w:tcPr>
          <w:p w14:paraId="2A8989FD" w14:textId="77777777" w:rsidR="008D4678" w:rsidRPr="004213E1" w:rsidRDefault="008D4678" w:rsidP="000A162D">
            <w:pPr>
              <w:pStyle w:val="TableParagraph"/>
              <w:spacing w:before="8"/>
              <w:ind w:left="142"/>
              <w:rPr>
                <w:rFonts w:ascii="Arial" w:eastAsia="Arial" w:hAnsi="Arial" w:cs="Arial"/>
                <w:sz w:val="18"/>
                <w:szCs w:val="18"/>
                <w:lang w:val="cs-CZ"/>
              </w:rPr>
            </w:pPr>
            <w:proofErr w:type="spellStart"/>
            <w:r w:rsidRPr="004213E1">
              <w:rPr>
                <w:rFonts w:ascii="Arial" w:hAnsi="Arial" w:cs="Arial"/>
                <w:b/>
                <w:spacing w:val="-1"/>
                <w:sz w:val="18"/>
                <w:szCs w:val="18"/>
                <w:lang w:val="cs-CZ"/>
              </w:rPr>
              <w:t>PeCB</w:t>
            </w:r>
            <w:proofErr w:type="spellEnd"/>
          </w:p>
        </w:tc>
        <w:tc>
          <w:tcPr>
            <w:tcW w:w="992" w:type="dxa"/>
            <w:shd w:val="clear" w:color="auto" w:fill="DADADA"/>
            <w:vAlign w:val="center"/>
          </w:tcPr>
          <w:p w14:paraId="797F7531" w14:textId="77777777" w:rsidR="008D4678" w:rsidRPr="004213E1" w:rsidRDefault="008D4678" w:rsidP="000A162D">
            <w:pPr>
              <w:pStyle w:val="TableParagraph"/>
              <w:spacing w:before="8"/>
              <w:jc w:val="center"/>
              <w:rPr>
                <w:rFonts w:ascii="Arial" w:eastAsia="Arial" w:hAnsi="Arial" w:cs="Arial"/>
                <w:sz w:val="18"/>
                <w:szCs w:val="18"/>
                <w:lang w:val="cs-CZ"/>
              </w:rPr>
            </w:pPr>
            <w:proofErr w:type="spellStart"/>
            <w:r w:rsidRPr="004213E1">
              <w:rPr>
                <w:rFonts w:ascii="Arial" w:hAnsi="Arial" w:cs="Arial"/>
                <w:b/>
                <w:spacing w:val="-1"/>
                <w:sz w:val="18"/>
                <w:szCs w:val="18"/>
                <w:lang w:val="cs-CZ"/>
              </w:rPr>
              <w:t>μg</w:t>
            </w:r>
            <w:proofErr w:type="spellEnd"/>
            <w:r w:rsidRPr="004213E1">
              <w:rPr>
                <w:rFonts w:ascii="Arial" w:hAnsi="Arial" w:cs="Arial"/>
                <w:b/>
                <w:spacing w:val="-1"/>
                <w:sz w:val="18"/>
                <w:szCs w:val="18"/>
                <w:lang w:val="cs-CZ"/>
              </w:rPr>
              <w:t>/kg</w:t>
            </w:r>
          </w:p>
        </w:tc>
        <w:tc>
          <w:tcPr>
            <w:tcW w:w="1134" w:type="dxa"/>
            <w:shd w:val="clear" w:color="auto" w:fill="DADADA"/>
            <w:vAlign w:val="center"/>
          </w:tcPr>
          <w:p w14:paraId="29BFC12D" w14:textId="77777777" w:rsidR="008D4678" w:rsidRPr="004213E1" w:rsidRDefault="008D4678" w:rsidP="000A162D">
            <w:pPr>
              <w:pStyle w:val="TableParagraph"/>
              <w:spacing w:before="8"/>
              <w:ind w:left="12"/>
              <w:jc w:val="center"/>
              <w:rPr>
                <w:rFonts w:ascii="Arial" w:eastAsia="Arial" w:hAnsi="Arial" w:cs="Arial"/>
                <w:sz w:val="18"/>
                <w:szCs w:val="18"/>
                <w:lang w:val="cs-CZ"/>
              </w:rPr>
            </w:pPr>
            <w:r w:rsidRPr="004213E1">
              <w:rPr>
                <w:rFonts w:ascii="Arial" w:hAnsi="Arial" w:cs="Arial"/>
                <w:b/>
                <w:spacing w:val="-1"/>
                <w:sz w:val="18"/>
                <w:szCs w:val="18"/>
                <w:lang w:val="cs-CZ"/>
              </w:rPr>
              <w:t>400</w:t>
            </w:r>
          </w:p>
        </w:tc>
        <w:tc>
          <w:tcPr>
            <w:tcW w:w="1134" w:type="dxa"/>
            <w:shd w:val="clear" w:color="auto" w:fill="DADADA"/>
            <w:vAlign w:val="center"/>
          </w:tcPr>
          <w:p w14:paraId="3C62B63C" w14:textId="77777777" w:rsidR="008D4678" w:rsidRPr="004213E1" w:rsidRDefault="008D4678" w:rsidP="000A162D">
            <w:pPr>
              <w:pStyle w:val="TableParagraph"/>
              <w:spacing w:before="4"/>
              <w:ind w:right="1"/>
              <w:jc w:val="center"/>
              <w:rPr>
                <w:rFonts w:ascii="Arial" w:eastAsia="Calibri" w:hAnsi="Arial" w:cs="Arial"/>
                <w:sz w:val="18"/>
                <w:szCs w:val="18"/>
                <w:lang w:val="cs-CZ"/>
              </w:rPr>
            </w:pPr>
            <w:r w:rsidRPr="004213E1">
              <w:rPr>
                <w:rFonts w:ascii="Arial" w:hAnsi="Arial" w:cs="Arial"/>
                <w:w w:val="105"/>
                <w:sz w:val="18"/>
                <w:szCs w:val="18"/>
                <w:lang w:val="cs-CZ"/>
              </w:rPr>
              <w:t>23/2011</w:t>
            </w:r>
            <w:r w:rsidRPr="004213E1">
              <w:rPr>
                <w:rFonts w:ascii="Arial" w:hAnsi="Arial" w:cs="Arial"/>
                <w:spacing w:val="-22"/>
                <w:w w:val="105"/>
                <w:sz w:val="18"/>
                <w:szCs w:val="18"/>
                <w:lang w:val="cs-CZ"/>
              </w:rPr>
              <w:t xml:space="preserve"> </w:t>
            </w:r>
            <w:r w:rsidRPr="004213E1">
              <w:rPr>
                <w:rFonts w:ascii="Arial" w:hAnsi="Arial" w:cs="Arial"/>
                <w:spacing w:val="-1"/>
                <w:w w:val="105"/>
                <w:sz w:val="18"/>
                <w:szCs w:val="18"/>
                <w:lang w:val="cs-CZ"/>
              </w:rPr>
              <w:t>Sb.</w:t>
            </w:r>
          </w:p>
        </w:tc>
        <w:tc>
          <w:tcPr>
            <w:tcW w:w="4810" w:type="dxa"/>
            <w:shd w:val="clear" w:color="auto" w:fill="DADADA"/>
            <w:vAlign w:val="center"/>
          </w:tcPr>
          <w:p w14:paraId="31F6024D" w14:textId="77777777" w:rsidR="008D4678" w:rsidRPr="004213E1" w:rsidRDefault="00C359A8" w:rsidP="000A162D">
            <w:pPr>
              <w:pStyle w:val="TableParagraph"/>
              <w:spacing w:before="4"/>
              <w:ind w:left="142" w:right="1"/>
              <w:rPr>
                <w:rStyle w:val="Hypertextovodkaz"/>
                <w:rFonts w:cs="Arial"/>
                <w:color w:val="0000FF"/>
                <w:sz w:val="18"/>
                <w:szCs w:val="18"/>
                <w:u w:val="single"/>
              </w:rPr>
            </w:pPr>
            <w:hyperlink r:id="rId17" w:history="1">
              <w:r w:rsidR="008D4678" w:rsidRPr="004213E1">
                <w:rPr>
                  <w:rStyle w:val="Hypertextovodkaz"/>
                  <w:rFonts w:cs="Arial"/>
                  <w:color w:val="0000FF"/>
                  <w:w w:val="105"/>
                  <w:sz w:val="18"/>
                  <w:szCs w:val="18"/>
                  <w:u w:val="single"/>
                </w:rPr>
                <w:t>CIS for WFD, EQS Data Sheet, Brussels, 31.07.2005</w:t>
              </w:r>
            </w:hyperlink>
          </w:p>
        </w:tc>
      </w:tr>
      <w:tr w:rsidR="008D4678" w:rsidRPr="004213E1" w14:paraId="53C3C8C8" w14:textId="77777777" w:rsidTr="00482462">
        <w:trPr>
          <w:trHeight w:val="340"/>
        </w:trPr>
        <w:tc>
          <w:tcPr>
            <w:tcW w:w="1276" w:type="dxa"/>
            <w:vAlign w:val="center"/>
          </w:tcPr>
          <w:p w14:paraId="6664A860" w14:textId="77777777" w:rsidR="008D4678" w:rsidRPr="004213E1" w:rsidRDefault="008D4678" w:rsidP="000A162D">
            <w:pPr>
              <w:pStyle w:val="TableParagraph"/>
              <w:spacing w:before="8"/>
              <w:ind w:left="142"/>
              <w:rPr>
                <w:rFonts w:ascii="Arial" w:eastAsia="Arial" w:hAnsi="Arial" w:cs="Arial"/>
                <w:sz w:val="18"/>
                <w:szCs w:val="18"/>
                <w:lang w:val="cs-CZ"/>
              </w:rPr>
            </w:pPr>
            <w:r w:rsidRPr="004213E1">
              <w:rPr>
                <w:rFonts w:ascii="Arial" w:hAnsi="Arial" w:cs="Arial"/>
                <w:b/>
                <w:spacing w:val="-1"/>
                <w:sz w:val="18"/>
                <w:szCs w:val="18"/>
                <w:lang w:val="cs-CZ"/>
              </w:rPr>
              <w:t>HCB</w:t>
            </w:r>
          </w:p>
        </w:tc>
        <w:tc>
          <w:tcPr>
            <w:tcW w:w="992" w:type="dxa"/>
            <w:vAlign w:val="center"/>
          </w:tcPr>
          <w:p w14:paraId="3E9C520D" w14:textId="77777777" w:rsidR="008D4678" w:rsidRPr="004213E1" w:rsidRDefault="008D4678" w:rsidP="000A162D">
            <w:pPr>
              <w:pStyle w:val="TableParagraph"/>
              <w:spacing w:before="8"/>
              <w:jc w:val="center"/>
              <w:rPr>
                <w:rFonts w:ascii="Arial" w:eastAsia="Arial" w:hAnsi="Arial" w:cs="Arial"/>
                <w:sz w:val="18"/>
                <w:szCs w:val="18"/>
                <w:lang w:val="cs-CZ"/>
              </w:rPr>
            </w:pPr>
            <w:proofErr w:type="spellStart"/>
            <w:r w:rsidRPr="004213E1">
              <w:rPr>
                <w:rFonts w:ascii="Arial" w:hAnsi="Arial" w:cs="Arial"/>
                <w:b/>
                <w:spacing w:val="-1"/>
                <w:sz w:val="18"/>
                <w:szCs w:val="18"/>
                <w:lang w:val="cs-CZ"/>
              </w:rPr>
              <w:t>μg</w:t>
            </w:r>
            <w:proofErr w:type="spellEnd"/>
            <w:r w:rsidRPr="004213E1">
              <w:rPr>
                <w:rFonts w:ascii="Arial" w:hAnsi="Arial" w:cs="Arial"/>
                <w:b/>
                <w:spacing w:val="-1"/>
                <w:sz w:val="18"/>
                <w:szCs w:val="18"/>
                <w:lang w:val="cs-CZ"/>
              </w:rPr>
              <w:t>/kg</w:t>
            </w:r>
          </w:p>
        </w:tc>
        <w:tc>
          <w:tcPr>
            <w:tcW w:w="1134" w:type="dxa"/>
            <w:shd w:val="clear" w:color="auto" w:fill="auto"/>
            <w:vAlign w:val="center"/>
          </w:tcPr>
          <w:p w14:paraId="0E049B23" w14:textId="77777777" w:rsidR="008D4678" w:rsidRPr="004213E1" w:rsidRDefault="008D4678" w:rsidP="000A162D">
            <w:pPr>
              <w:pStyle w:val="TableParagraph"/>
              <w:spacing w:before="8"/>
              <w:ind w:left="11"/>
              <w:jc w:val="center"/>
              <w:rPr>
                <w:rFonts w:ascii="Arial" w:eastAsia="Arial" w:hAnsi="Arial" w:cs="Arial"/>
                <w:sz w:val="18"/>
                <w:szCs w:val="18"/>
                <w:lang w:val="cs-CZ"/>
              </w:rPr>
            </w:pPr>
            <w:r w:rsidRPr="004213E1">
              <w:rPr>
                <w:rFonts w:ascii="Arial" w:hAnsi="Arial" w:cs="Arial"/>
                <w:b/>
                <w:spacing w:val="-1"/>
                <w:sz w:val="18"/>
                <w:szCs w:val="18"/>
                <w:lang w:val="cs-CZ"/>
              </w:rPr>
              <w:t>17</w:t>
            </w:r>
          </w:p>
        </w:tc>
        <w:tc>
          <w:tcPr>
            <w:tcW w:w="1134" w:type="dxa"/>
            <w:shd w:val="clear" w:color="auto" w:fill="auto"/>
            <w:vAlign w:val="center"/>
          </w:tcPr>
          <w:p w14:paraId="61C03C18" w14:textId="77777777" w:rsidR="008D4678" w:rsidRPr="004213E1" w:rsidRDefault="008D4678" w:rsidP="000A162D">
            <w:pPr>
              <w:pStyle w:val="TableParagraph"/>
              <w:spacing w:before="4"/>
              <w:ind w:right="1"/>
              <w:jc w:val="center"/>
              <w:rPr>
                <w:rFonts w:ascii="Arial" w:eastAsia="Calibri" w:hAnsi="Arial" w:cs="Arial"/>
                <w:sz w:val="18"/>
                <w:szCs w:val="18"/>
                <w:lang w:val="cs-CZ"/>
              </w:rPr>
            </w:pPr>
            <w:r w:rsidRPr="004213E1">
              <w:rPr>
                <w:rFonts w:ascii="Arial" w:hAnsi="Arial" w:cs="Arial"/>
                <w:w w:val="105"/>
                <w:sz w:val="18"/>
                <w:szCs w:val="18"/>
                <w:lang w:val="cs-CZ"/>
              </w:rPr>
              <w:t>23/2011</w:t>
            </w:r>
            <w:r w:rsidRPr="004213E1">
              <w:rPr>
                <w:rFonts w:ascii="Arial" w:hAnsi="Arial" w:cs="Arial"/>
                <w:spacing w:val="-22"/>
                <w:w w:val="105"/>
                <w:sz w:val="18"/>
                <w:szCs w:val="18"/>
                <w:lang w:val="cs-CZ"/>
              </w:rPr>
              <w:t xml:space="preserve"> </w:t>
            </w:r>
            <w:r w:rsidRPr="004213E1">
              <w:rPr>
                <w:rFonts w:ascii="Arial" w:hAnsi="Arial" w:cs="Arial"/>
                <w:spacing w:val="-1"/>
                <w:w w:val="105"/>
                <w:sz w:val="18"/>
                <w:szCs w:val="18"/>
                <w:lang w:val="cs-CZ"/>
              </w:rPr>
              <w:t>Sb.</w:t>
            </w:r>
          </w:p>
        </w:tc>
        <w:tc>
          <w:tcPr>
            <w:tcW w:w="4810" w:type="dxa"/>
            <w:shd w:val="clear" w:color="auto" w:fill="auto"/>
            <w:vAlign w:val="center"/>
          </w:tcPr>
          <w:p w14:paraId="26CE4F45" w14:textId="77777777" w:rsidR="008D4678" w:rsidRPr="004213E1" w:rsidRDefault="00C359A8" w:rsidP="000A162D">
            <w:pPr>
              <w:pStyle w:val="TableParagraph"/>
              <w:spacing w:before="4"/>
              <w:ind w:left="142" w:right="1"/>
              <w:rPr>
                <w:rStyle w:val="Hypertextovodkaz"/>
                <w:rFonts w:cs="Arial"/>
                <w:color w:val="0000FF"/>
                <w:sz w:val="18"/>
                <w:szCs w:val="18"/>
                <w:u w:val="single"/>
              </w:rPr>
            </w:pPr>
            <w:hyperlink r:id="rId18" w:history="1">
              <w:r w:rsidR="008D4678" w:rsidRPr="004213E1">
                <w:rPr>
                  <w:rStyle w:val="Hypertextovodkaz"/>
                  <w:rFonts w:cs="Arial"/>
                  <w:color w:val="0000FF"/>
                  <w:w w:val="105"/>
                  <w:sz w:val="18"/>
                  <w:szCs w:val="18"/>
                  <w:u w:val="single"/>
                </w:rPr>
                <w:t>CIS for WFD, EQS Data Sheet, Brussels, 15.01.2005</w:t>
              </w:r>
            </w:hyperlink>
          </w:p>
        </w:tc>
      </w:tr>
      <w:tr w:rsidR="008D4678" w:rsidRPr="004213E1" w14:paraId="3F5111FD" w14:textId="77777777" w:rsidTr="00482462">
        <w:trPr>
          <w:trHeight w:val="340"/>
        </w:trPr>
        <w:tc>
          <w:tcPr>
            <w:tcW w:w="1276" w:type="dxa"/>
            <w:shd w:val="clear" w:color="auto" w:fill="D9D9D9" w:themeFill="background1" w:themeFillShade="D9"/>
            <w:vAlign w:val="center"/>
          </w:tcPr>
          <w:p w14:paraId="18FA7BC6" w14:textId="77777777" w:rsidR="008D4678" w:rsidRPr="004213E1" w:rsidRDefault="008D4678" w:rsidP="000A162D">
            <w:pPr>
              <w:pStyle w:val="TableParagraph"/>
              <w:spacing w:before="8"/>
              <w:ind w:left="142"/>
              <w:rPr>
                <w:rFonts w:ascii="Arial" w:eastAsia="Arial" w:hAnsi="Arial" w:cs="Arial"/>
                <w:sz w:val="18"/>
                <w:szCs w:val="18"/>
                <w:lang w:val="cs-CZ"/>
              </w:rPr>
            </w:pPr>
            <w:r w:rsidRPr="004213E1">
              <w:rPr>
                <w:rFonts w:ascii="Arial" w:hAnsi="Arial" w:cs="Arial"/>
                <w:b/>
                <w:spacing w:val="-2"/>
                <w:sz w:val="18"/>
                <w:szCs w:val="18"/>
                <w:lang w:val="cs-CZ"/>
              </w:rPr>
              <w:t>Anthracen</w:t>
            </w:r>
          </w:p>
        </w:tc>
        <w:tc>
          <w:tcPr>
            <w:tcW w:w="992" w:type="dxa"/>
            <w:shd w:val="clear" w:color="auto" w:fill="D9D9D9" w:themeFill="background1" w:themeFillShade="D9"/>
            <w:vAlign w:val="center"/>
          </w:tcPr>
          <w:p w14:paraId="5C6B099C" w14:textId="77777777" w:rsidR="008D4678" w:rsidRPr="004213E1" w:rsidRDefault="008D4678" w:rsidP="000A162D">
            <w:pPr>
              <w:pStyle w:val="TableParagraph"/>
              <w:spacing w:before="8"/>
              <w:jc w:val="center"/>
              <w:rPr>
                <w:rFonts w:ascii="Arial" w:eastAsia="Arial" w:hAnsi="Arial" w:cs="Arial"/>
                <w:sz w:val="18"/>
                <w:szCs w:val="18"/>
                <w:lang w:val="cs-CZ"/>
              </w:rPr>
            </w:pPr>
            <w:r w:rsidRPr="004213E1">
              <w:rPr>
                <w:rFonts w:ascii="Arial" w:hAnsi="Arial" w:cs="Arial"/>
                <w:b/>
                <w:spacing w:val="-1"/>
                <w:sz w:val="18"/>
                <w:szCs w:val="18"/>
                <w:lang w:val="cs-CZ"/>
              </w:rPr>
              <w:t>mg/kg</w:t>
            </w:r>
          </w:p>
        </w:tc>
        <w:tc>
          <w:tcPr>
            <w:tcW w:w="1134" w:type="dxa"/>
            <w:shd w:val="clear" w:color="auto" w:fill="D9D9D9" w:themeFill="background1" w:themeFillShade="D9"/>
            <w:vAlign w:val="center"/>
          </w:tcPr>
          <w:p w14:paraId="115C85BC" w14:textId="77777777" w:rsidR="008D4678" w:rsidRPr="004213E1" w:rsidRDefault="008D4678" w:rsidP="000A162D">
            <w:pPr>
              <w:pStyle w:val="TableParagraph"/>
              <w:spacing w:before="8"/>
              <w:ind w:left="12"/>
              <w:jc w:val="center"/>
              <w:rPr>
                <w:rFonts w:ascii="Arial" w:eastAsia="Arial" w:hAnsi="Arial" w:cs="Arial"/>
                <w:sz w:val="18"/>
                <w:szCs w:val="18"/>
                <w:lang w:val="cs-CZ"/>
              </w:rPr>
            </w:pPr>
            <w:r w:rsidRPr="004213E1">
              <w:rPr>
                <w:rFonts w:ascii="Arial" w:hAnsi="Arial" w:cs="Arial"/>
                <w:b/>
                <w:spacing w:val="-1"/>
                <w:sz w:val="18"/>
                <w:szCs w:val="18"/>
                <w:lang w:val="cs-CZ"/>
              </w:rPr>
              <w:t>0,31</w:t>
            </w:r>
          </w:p>
        </w:tc>
        <w:tc>
          <w:tcPr>
            <w:tcW w:w="1134" w:type="dxa"/>
            <w:shd w:val="clear" w:color="auto" w:fill="D9D9D9" w:themeFill="background1" w:themeFillShade="D9"/>
            <w:vAlign w:val="center"/>
          </w:tcPr>
          <w:p w14:paraId="25832B88" w14:textId="77777777" w:rsidR="008D4678" w:rsidRPr="004213E1" w:rsidRDefault="008D4678" w:rsidP="000A162D">
            <w:pPr>
              <w:pStyle w:val="TableParagraph"/>
              <w:spacing w:before="4"/>
              <w:ind w:right="1"/>
              <w:jc w:val="center"/>
              <w:rPr>
                <w:rFonts w:ascii="Arial" w:eastAsia="Calibri" w:hAnsi="Arial" w:cs="Arial"/>
                <w:sz w:val="18"/>
                <w:szCs w:val="18"/>
                <w:lang w:val="cs-CZ"/>
              </w:rPr>
            </w:pPr>
            <w:r w:rsidRPr="004213E1">
              <w:rPr>
                <w:rFonts w:ascii="Arial" w:hAnsi="Arial" w:cs="Arial"/>
                <w:w w:val="105"/>
                <w:sz w:val="18"/>
                <w:szCs w:val="18"/>
                <w:lang w:val="cs-CZ"/>
              </w:rPr>
              <w:t>23/2011</w:t>
            </w:r>
            <w:r w:rsidRPr="004213E1">
              <w:rPr>
                <w:rFonts w:ascii="Arial" w:hAnsi="Arial" w:cs="Arial"/>
                <w:spacing w:val="-22"/>
                <w:w w:val="105"/>
                <w:sz w:val="18"/>
                <w:szCs w:val="18"/>
                <w:lang w:val="cs-CZ"/>
              </w:rPr>
              <w:t xml:space="preserve"> </w:t>
            </w:r>
            <w:r w:rsidRPr="004213E1">
              <w:rPr>
                <w:rFonts w:ascii="Arial" w:hAnsi="Arial" w:cs="Arial"/>
                <w:spacing w:val="-1"/>
                <w:w w:val="105"/>
                <w:sz w:val="18"/>
                <w:szCs w:val="18"/>
                <w:lang w:val="cs-CZ"/>
              </w:rPr>
              <w:t>Sb.</w:t>
            </w:r>
          </w:p>
        </w:tc>
        <w:tc>
          <w:tcPr>
            <w:tcW w:w="4810" w:type="dxa"/>
            <w:shd w:val="clear" w:color="auto" w:fill="D9D9D9" w:themeFill="background1" w:themeFillShade="D9"/>
            <w:vAlign w:val="center"/>
          </w:tcPr>
          <w:p w14:paraId="3429B6A8" w14:textId="77777777" w:rsidR="008D4678" w:rsidRPr="004213E1" w:rsidRDefault="00C359A8" w:rsidP="000A162D">
            <w:pPr>
              <w:pStyle w:val="TableParagraph"/>
              <w:spacing w:before="4"/>
              <w:ind w:left="142" w:right="1"/>
              <w:rPr>
                <w:rStyle w:val="Hypertextovodkaz"/>
                <w:rFonts w:cs="Arial"/>
                <w:color w:val="0000FF"/>
                <w:sz w:val="18"/>
                <w:szCs w:val="18"/>
                <w:u w:val="single"/>
              </w:rPr>
            </w:pPr>
            <w:hyperlink r:id="rId19" w:history="1">
              <w:r w:rsidR="008D4678" w:rsidRPr="004213E1">
                <w:rPr>
                  <w:rStyle w:val="Hypertextovodkaz"/>
                  <w:rFonts w:cs="Arial"/>
                  <w:color w:val="0000FF"/>
                  <w:w w:val="105"/>
                  <w:sz w:val="18"/>
                  <w:szCs w:val="18"/>
                  <w:u w:val="single"/>
                </w:rPr>
                <w:t>CIS for WFD, EQS Data Sheet, Brussels, 31.07.2005</w:t>
              </w:r>
            </w:hyperlink>
          </w:p>
        </w:tc>
      </w:tr>
      <w:tr w:rsidR="008D4678" w:rsidRPr="004213E1" w14:paraId="7C22AB19" w14:textId="77777777" w:rsidTr="00482462">
        <w:trPr>
          <w:trHeight w:val="340"/>
        </w:trPr>
        <w:tc>
          <w:tcPr>
            <w:tcW w:w="1276" w:type="dxa"/>
            <w:shd w:val="clear" w:color="auto" w:fill="auto"/>
            <w:vAlign w:val="center"/>
          </w:tcPr>
          <w:p w14:paraId="242BF147" w14:textId="77777777" w:rsidR="008D4678" w:rsidRPr="004213E1" w:rsidRDefault="008D4678" w:rsidP="000A162D">
            <w:pPr>
              <w:pStyle w:val="TableParagraph"/>
              <w:spacing w:before="8"/>
              <w:ind w:left="142"/>
              <w:rPr>
                <w:rFonts w:ascii="Arial" w:eastAsia="Arial" w:hAnsi="Arial" w:cs="Arial"/>
                <w:sz w:val="18"/>
                <w:szCs w:val="18"/>
                <w:lang w:val="cs-CZ"/>
              </w:rPr>
            </w:pPr>
            <w:proofErr w:type="spellStart"/>
            <w:r w:rsidRPr="004213E1">
              <w:rPr>
                <w:rFonts w:ascii="Arial" w:hAnsi="Arial" w:cs="Arial"/>
                <w:b/>
                <w:spacing w:val="-1"/>
                <w:sz w:val="18"/>
                <w:szCs w:val="18"/>
                <w:lang w:val="cs-CZ"/>
              </w:rPr>
              <w:t>Fluoranthen</w:t>
            </w:r>
            <w:proofErr w:type="spellEnd"/>
          </w:p>
        </w:tc>
        <w:tc>
          <w:tcPr>
            <w:tcW w:w="992" w:type="dxa"/>
            <w:shd w:val="clear" w:color="auto" w:fill="auto"/>
            <w:vAlign w:val="center"/>
          </w:tcPr>
          <w:p w14:paraId="44D3E684" w14:textId="77777777" w:rsidR="008D4678" w:rsidRPr="004213E1" w:rsidRDefault="008D4678" w:rsidP="000A162D">
            <w:pPr>
              <w:pStyle w:val="TableParagraph"/>
              <w:spacing w:before="8"/>
              <w:jc w:val="center"/>
              <w:rPr>
                <w:rFonts w:ascii="Arial" w:eastAsia="Arial" w:hAnsi="Arial" w:cs="Arial"/>
                <w:sz w:val="18"/>
                <w:szCs w:val="18"/>
                <w:lang w:val="cs-CZ"/>
              </w:rPr>
            </w:pPr>
            <w:r w:rsidRPr="004213E1">
              <w:rPr>
                <w:rFonts w:ascii="Arial" w:hAnsi="Arial" w:cs="Arial"/>
                <w:b/>
                <w:spacing w:val="-1"/>
                <w:sz w:val="18"/>
                <w:szCs w:val="18"/>
                <w:lang w:val="cs-CZ"/>
              </w:rPr>
              <w:t>mg/kg</w:t>
            </w:r>
          </w:p>
        </w:tc>
        <w:tc>
          <w:tcPr>
            <w:tcW w:w="1134" w:type="dxa"/>
            <w:shd w:val="clear" w:color="auto" w:fill="auto"/>
            <w:vAlign w:val="center"/>
          </w:tcPr>
          <w:p w14:paraId="103F38DD" w14:textId="77777777" w:rsidR="008D4678" w:rsidRPr="004213E1" w:rsidRDefault="008D4678" w:rsidP="000A162D">
            <w:pPr>
              <w:pStyle w:val="TableParagraph"/>
              <w:spacing w:before="8"/>
              <w:ind w:right="5"/>
              <w:jc w:val="center"/>
              <w:rPr>
                <w:rFonts w:ascii="Arial" w:eastAsia="Arial" w:hAnsi="Arial" w:cs="Arial"/>
                <w:sz w:val="18"/>
                <w:szCs w:val="18"/>
                <w:lang w:val="cs-CZ"/>
              </w:rPr>
            </w:pPr>
            <w:r w:rsidRPr="004213E1">
              <w:rPr>
                <w:rFonts w:ascii="Arial" w:hAnsi="Arial" w:cs="Arial"/>
                <w:b/>
                <w:spacing w:val="-1"/>
                <w:sz w:val="18"/>
                <w:szCs w:val="18"/>
                <w:lang w:val="cs-CZ"/>
              </w:rPr>
              <w:t>0,18</w:t>
            </w:r>
          </w:p>
        </w:tc>
        <w:tc>
          <w:tcPr>
            <w:tcW w:w="1134" w:type="dxa"/>
            <w:shd w:val="clear" w:color="auto" w:fill="auto"/>
            <w:vAlign w:val="center"/>
          </w:tcPr>
          <w:p w14:paraId="647520C5" w14:textId="77777777" w:rsidR="008D4678" w:rsidRPr="004213E1" w:rsidRDefault="008D4678" w:rsidP="000A162D">
            <w:pPr>
              <w:pStyle w:val="TableParagraph"/>
              <w:spacing w:before="4"/>
              <w:jc w:val="center"/>
              <w:rPr>
                <w:rFonts w:ascii="Arial" w:eastAsia="Calibri" w:hAnsi="Arial" w:cs="Arial"/>
                <w:sz w:val="18"/>
                <w:szCs w:val="18"/>
                <w:lang w:val="cs-CZ"/>
              </w:rPr>
            </w:pPr>
            <w:r w:rsidRPr="004213E1">
              <w:rPr>
                <w:rFonts w:ascii="Arial" w:eastAsia="Calibri" w:hAnsi="Arial" w:cs="Arial"/>
                <w:sz w:val="18"/>
                <w:szCs w:val="18"/>
                <w:lang w:val="cs-CZ"/>
              </w:rPr>
              <w:t>23/2011 Sb.</w:t>
            </w:r>
          </w:p>
        </w:tc>
        <w:tc>
          <w:tcPr>
            <w:tcW w:w="4810" w:type="dxa"/>
            <w:shd w:val="clear" w:color="auto" w:fill="auto"/>
            <w:vAlign w:val="center"/>
          </w:tcPr>
          <w:p w14:paraId="7C76FF07" w14:textId="77777777" w:rsidR="008D4678" w:rsidRPr="004213E1" w:rsidRDefault="00C359A8" w:rsidP="000A162D">
            <w:pPr>
              <w:pStyle w:val="TableParagraph"/>
              <w:spacing w:before="4"/>
              <w:ind w:left="142"/>
              <w:rPr>
                <w:rStyle w:val="Hypertextovodkaz"/>
                <w:rFonts w:cs="Arial"/>
                <w:color w:val="0000FF"/>
                <w:w w:val="105"/>
                <w:sz w:val="18"/>
                <w:szCs w:val="18"/>
                <w:u w:val="single"/>
              </w:rPr>
            </w:pPr>
            <w:hyperlink r:id="rId20" w:history="1">
              <w:r w:rsidR="008D4678" w:rsidRPr="004213E1">
                <w:rPr>
                  <w:rStyle w:val="Hypertextovodkaz"/>
                  <w:rFonts w:cs="Arial"/>
                  <w:color w:val="0000FF"/>
                  <w:w w:val="105"/>
                  <w:sz w:val="18"/>
                  <w:szCs w:val="18"/>
                  <w:u w:val="single"/>
                </w:rPr>
                <w:t>CIS for WFD, EQS Data Sheet, Brussels, 15.01.2005</w:t>
              </w:r>
            </w:hyperlink>
          </w:p>
        </w:tc>
      </w:tr>
      <w:tr w:rsidR="008D4678" w:rsidRPr="004213E1" w14:paraId="7C3CF298" w14:textId="77777777" w:rsidTr="00482462">
        <w:trPr>
          <w:trHeight w:val="340"/>
        </w:trPr>
        <w:tc>
          <w:tcPr>
            <w:tcW w:w="1276" w:type="dxa"/>
            <w:shd w:val="clear" w:color="auto" w:fill="D9D9D9" w:themeFill="background1" w:themeFillShade="D9"/>
            <w:vAlign w:val="center"/>
          </w:tcPr>
          <w:p w14:paraId="590ACC27" w14:textId="77777777" w:rsidR="008D4678" w:rsidRPr="004213E1" w:rsidRDefault="008D4678" w:rsidP="000A162D">
            <w:pPr>
              <w:pStyle w:val="TableParagraph"/>
              <w:spacing w:before="8"/>
              <w:ind w:left="142"/>
              <w:rPr>
                <w:rFonts w:ascii="Arial" w:eastAsia="Arial" w:hAnsi="Arial" w:cs="Arial"/>
                <w:sz w:val="18"/>
                <w:szCs w:val="18"/>
                <w:lang w:val="cs-CZ"/>
              </w:rPr>
            </w:pPr>
            <w:r w:rsidRPr="004213E1">
              <w:rPr>
                <w:rFonts w:ascii="Arial" w:hAnsi="Arial" w:cs="Arial"/>
                <w:b/>
                <w:sz w:val="18"/>
                <w:szCs w:val="18"/>
                <w:lang w:val="cs-CZ"/>
              </w:rPr>
              <w:t>Σ</w:t>
            </w:r>
            <w:r w:rsidRPr="004213E1">
              <w:rPr>
                <w:rFonts w:ascii="Arial" w:hAnsi="Arial" w:cs="Arial"/>
                <w:b/>
                <w:spacing w:val="3"/>
                <w:sz w:val="18"/>
                <w:szCs w:val="18"/>
                <w:lang w:val="cs-CZ"/>
              </w:rPr>
              <w:t xml:space="preserve"> </w:t>
            </w:r>
            <w:r w:rsidRPr="004213E1">
              <w:rPr>
                <w:rFonts w:ascii="Arial" w:hAnsi="Arial" w:cs="Arial"/>
                <w:b/>
                <w:sz w:val="18"/>
                <w:szCs w:val="18"/>
                <w:lang w:val="cs-CZ"/>
              </w:rPr>
              <w:t>5</w:t>
            </w:r>
            <w:r w:rsidRPr="004213E1">
              <w:rPr>
                <w:rFonts w:ascii="Arial" w:hAnsi="Arial" w:cs="Arial"/>
                <w:b/>
                <w:spacing w:val="5"/>
                <w:sz w:val="18"/>
                <w:szCs w:val="18"/>
                <w:lang w:val="cs-CZ"/>
              </w:rPr>
              <w:t xml:space="preserve"> </w:t>
            </w:r>
            <w:r w:rsidRPr="004213E1">
              <w:rPr>
                <w:rFonts w:ascii="Arial" w:hAnsi="Arial" w:cs="Arial"/>
                <w:b/>
                <w:spacing w:val="-5"/>
                <w:sz w:val="18"/>
                <w:szCs w:val="18"/>
                <w:lang w:val="cs-CZ"/>
              </w:rPr>
              <w:t>PAU</w:t>
            </w:r>
          </w:p>
        </w:tc>
        <w:tc>
          <w:tcPr>
            <w:tcW w:w="992" w:type="dxa"/>
            <w:shd w:val="clear" w:color="auto" w:fill="D9D9D9" w:themeFill="background1" w:themeFillShade="D9"/>
            <w:vAlign w:val="center"/>
          </w:tcPr>
          <w:p w14:paraId="0E46C791" w14:textId="77777777" w:rsidR="008D4678" w:rsidRPr="004213E1" w:rsidRDefault="008D4678" w:rsidP="000A162D">
            <w:pPr>
              <w:pStyle w:val="TableParagraph"/>
              <w:spacing w:before="8"/>
              <w:jc w:val="center"/>
              <w:rPr>
                <w:rFonts w:ascii="Arial" w:eastAsia="Arial" w:hAnsi="Arial" w:cs="Arial"/>
                <w:sz w:val="18"/>
                <w:szCs w:val="18"/>
                <w:lang w:val="cs-CZ"/>
              </w:rPr>
            </w:pPr>
            <w:r w:rsidRPr="004213E1">
              <w:rPr>
                <w:rFonts w:ascii="Arial" w:hAnsi="Arial" w:cs="Arial"/>
                <w:b/>
                <w:spacing w:val="-1"/>
                <w:sz w:val="18"/>
                <w:szCs w:val="18"/>
                <w:lang w:val="cs-CZ"/>
              </w:rPr>
              <w:t>mg/kg</w:t>
            </w:r>
          </w:p>
        </w:tc>
        <w:tc>
          <w:tcPr>
            <w:tcW w:w="1134" w:type="dxa"/>
            <w:shd w:val="clear" w:color="auto" w:fill="D9D9D9" w:themeFill="background1" w:themeFillShade="D9"/>
            <w:vAlign w:val="center"/>
          </w:tcPr>
          <w:p w14:paraId="4C62BF85" w14:textId="77777777" w:rsidR="008D4678" w:rsidRPr="004213E1" w:rsidRDefault="008D4678" w:rsidP="000A162D">
            <w:pPr>
              <w:pStyle w:val="TableParagraph"/>
              <w:spacing w:before="8"/>
              <w:ind w:right="7"/>
              <w:jc w:val="center"/>
              <w:rPr>
                <w:rFonts w:ascii="Arial" w:eastAsia="Arial" w:hAnsi="Arial" w:cs="Arial"/>
                <w:sz w:val="18"/>
                <w:szCs w:val="18"/>
                <w:lang w:val="cs-CZ"/>
              </w:rPr>
            </w:pPr>
            <w:r w:rsidRPr="004213E1">
              <w:rPr>
                <w:rFonts w:ascii="Arial" w:hAnsi="Arial" w:cs="Arial"/>
                <w:b/>
                <w:spacing w:val="-1"/>
                <w:sz w:val="18"/>
                <w:szCs w:val="18"/>
                <w:lang w:val="cs-CZ"/>
              </w:rPr>
              <w:t>2,5</w:t>
            </w:r>
          </w:p>
        </w:tc>
        <w:tc>
          <w:tcPr>
            <w:tcW w:w="1134" w:type="dxa"/>
            <w:shd w:val="clear" w:color="auto" w:fill="D9D9D9" w:themeFill="background1" w:themeFillShade="D9"/>
            <w:vAlign w:val="center"/>
          </w:tcPr>
          <w:p w14:paraId="035A33DA" w14:textId="77777777" w:rsidR="008D4678" w:rsidRPr="004213E1" w:rsidRDefault="008D4678" w:rsidP="000A162D">
            <w:pPr>
              <w:pStyle w:val="TableParagraph"/>
              <w:spacing w:before="4"/>
              <w:ind w:right="1"/>
              <w:jc w:val="center"/>
              <w:rPr>
                <w:rFonts w:ascii="Arial" w:eastAsia="Calibri" w:hAnsi="Arial" w:cs="Arial"/>
                <w:sz w:val="18"/>
                <w:szCs w:val="18"/>
                <w:lang w:val="cs-CZ"/>
              </w:rPr>
            </w:pPr>
            <w:r w:rsidRPr="004213E1">
              <w:rPr>
                <w:rFonts w:ascii="Arial" w:hAnsi="Arial" w:cs="Arial"/>
                <w:w w:val="105"/>
                <w:sz w:val="18"/>
                <w:szCs w:val="18"/>
                <w:lang w:val="cs-CZ"/>
              </w:rPr>
              <w:t>23/2011</w:t>
            </w:r>
            <w:r w:rsidRPr="004213E1">
              <w:rPr>
                <w:rFonts w:ascii="Arial" w:hAnsi="Arial" w:cs="Arial"/>
                <w:spacing w:val="-22"/>
                <w:w w:val="105"/>
                <w:sz w:val="18"/>
                <w:szCs w:val="18"/>
                <w:lang w:val="cs-CZ"/>
              </w:rPr>
              <w:t xml:space="preserve"> </w:t>
            </w:r>
            <w:r w:rsidRPr="004213E1">
              <w:rPr>
                <w:rFonts w:ascii="Arial" w:hAnsi="Arial" w:cs="Arial"/>
                <w:spacing w:val="-1"/>
                <w:w w:val="105"/>
                <w:sz w:val="18"/>
                <w:szCs w:val="18"/>
                <w:lang w:val="cs-CZ"/>
              </w:rPr>
              <w:t>Sb.</w:t>
            </w:r>
          </w:p>
        </w:tc>
        <w:tc>
          <w:tcPr>
            <w:tcW w:w="4810" w:type="dxa"/>
            <w:shd w:val="clear" w:color="auto" w:fill="D9D9D9" w:themeFill="background1" w:themeFillShade="D9"/>
            <w:vAlign w:val="center"/>
          </w:tcPr>
          <w:p w14:paraId="3683E034" w14:textId="77777777" w:rsidR="008D4678" w:rsidRPr="004213E1" w:rsidRDefault="00C359A8" w:rsidP="000A162D">
            <w:pPr>
              <w:pStyle w:val="TableParagraph"/>
              <w:spacing w:before="4"/>
              <w:ind w:left="142" w:right="1"/>
              <w:rPr>
                <w:rStyle w:val="Hypertextovodkaz"/>
                <w:rFonts w:cs="Arial"/>
                <w:color w:val="0000FF"/>
                <w:sz w:val="18"/>
                <w:szCs w:val="18"/>
                <w:u w:val="single"/>
              </w:rPr>
            </w:pPr>
            <w:hyperlink r:id="rId21" w:history="1">
              <w:r w:rsidR="008D4678" w:rsidRPr="004213E1">
                <w:rPr>
                  <w:rStyle w:val="Hypertextovodkaz"/>
                  <w:rFonts w:cs="Arial"/>
                  <w:color w:val="0000FF"/>
                  <w:w w:val="105"/>
                  <w:sz w:val="18"/>
                  <w:szCs w:val="18"/>
                  <w:u w:val="single"/>
                </w:rPr>
                <w:t>CIS for WFD, EQS Data Sheet, Brussels, 31.07.2005</w:t>
              </w:r>
            </w:hyperlink>
          </w:p>
        </w:tc>
      </w:tr>
      <w:tr w:rsidR="008D4678" w:rsidRPr="004213E1" w14:paraId="012CA901" w14:textId="77777777" w:rsidTr="00482462">
        <w:trPr>
          <w:trHeight w:val="340"/>
        </w:trPr>
        <w:tc>
          <w:tcPr>
            <w:tcW w:w="1276" w:type="dxa"/>
            <w:shd w:val="clear" w:color="auto" w:fill="auto"/>
            <w:vAlign w:val="center"/>
          </w:tcPr>
          <w:p w14:paraId="4933AAE7" w14:textId="77777777" w:rsidR="008D4678" w:rsidRPr="004213E1" w:rsidRDefault="008D4678" w:rsidP="000A162D">
            <w:pPr>
              <w:pStyle w:val="TableParagraph"/>
              <w:spacing w:before="8"/>
              <w:ind w:left="142"/>
              <w:rPr>
                <w:rFonts w:ascii="Arial" w:eastAsia="Arial" w:hAnsi="Arial" w:cs="Arial"/>
                <w:sz w:val="18"/>
                <w:szCs w:val="18"/>
                <w:lang w:val="cs-CZ"/>
              </w:rPr>
            </w:pPr>
            <w:r w:rsidRPr="004213E1">
              <w:rPr>
                <w:rFonts w:ascii="Arial" w:hAnsi="Arial" w:cs="Arial"/>
                <w:b/>
                <w:spacing w:val="-1"/>
                <w:sz w:val="18"/>
                <w:szCs w:val="18"/>
                <w:lang w:val="cs-CZ"/>
              </w:rPr>
              <w:t>TBT</w:t>
            </w:r>
          </w:p>
        </w:tc>
        <w:tc>
          <w:tcPr>
            <w:tcW w:w="992" w:type="dxa"/>
            <w:shd w:val="clear" w:color="auto" w:fill="auto"/>
            <w:vAlign w:val="center"/>
          </w:tcPr>
          <w:p w14:paraId="5E303928" w14:textId="77777777" w:rsidR="008D4678" w:rsidRPr="004213E1" w:rsidRDefault="008D4678" w:rsidP="000A162D">
            <w:pPr>
              <w:pStyle w:val="TableParagraph"/>
              <w:spacing w:before="8"/>
              <w:jc w:val="center"/>
              <w:rPr>
                <w:rFonts w:ascii="Arial" w:eastAsia="Arial" w:hAnsi="Arial" w:cs="Arial"/>
                <w:sz w:val="18"/>
                <w:szCs w:val="18"/>
                <w:lang w:val="cs-CZ"/>
              </w:rPr>
            </w:pPr>
            <w:proofErr w:type="spellStart"/>
            <w:r w:rsidRPr="004213E1">
              <w:rPr>
                <w:rFonts w:ascii="Arial" w:hAnsi="Arial" w:cs="Arial"/>
                <w:b/>
                <w:spacing w:val="-1"/>
                <w:sz w:val="18"/>
                <w:szCs w:val="18"/>
                <w:lang w:val="cs-CZ"/>
              </w:rPr>
              <w:t>μg</w:t>
            </w:r>
            <w:proofErr w:type="spellEnd"/>
            <w:r w:rsidRPr="004213E1">
              <w:rPr>
                <w:rFonts w:ascii="Arial" w:hAnsi="Arial" w:cs="Arial"/>
                <w:b/>
                <w:spacing w:val="-1"/>
                <w:sz w:val="18"/>
                <w:szCs w:val="18"/>
                <w:lang w:val="cs-CZ"/>
              </w:rPr>
              <w:t>/kg</w:t>
            </w:r>
          </w:p>
        </w:tc>
        <w:tc>
          <w:tcPr>
            <w:tcW w:w="1134" w:type="dxa"/>
            <w:shd w:val="clear" w:color="auto" w:fill="auto"/>
            <w:vAlign w:val="center"/>
          </w:tcPr>
          <w:p w14:paraId="7B0D9A2E" w14:textId="77777777" w:rsidR="008D4678" w:rsidRPr="004213E1" w:rsidRDefault="008D4678" w:rsidP="000A162D">
            <w:pPr>
              <w:pStyle w:val="TableParagraph"/>
              <w:spacing w:before="8"/>
              <w:ind w:right="5"/>
              <w:jc w:val="center"/>
              <w:rPr>
                <w:rFonts w:ascii="Arial" w:eastAsia="Arial" w:hAnsi="Arial" w:cs="Arial"/>
                <w:sz w:val="18"/>
                <w:szCs w:val="18"/>
                <w:lang w:val="cs-CZ"/>
              </w:rPr>
            </w:pPr>
            <w:r w:rsidRPr="004213E1">
              <w:rPr>
                <w:rFonts w:ascii="Arial" w:hAnsi="Arial" w:cs="Arial"/>
                <w:b/>
                <w:spacing w:val="-1"/>
                <w:sz w:val="18"/>
                <w:szCs w:val="18"/>
                <w:lang w:val="cs-CZ"/>
              </w:rPr>
              <w:t>0,02</w:t>
            </w:r>
          </w:p>
        </w:tc>
        <w:tc>
          <w:tcPr>
            <w:tcW w:w="1134" w:type="dxa"/>
            <w:shd w:val="clear" w:color="auto" w:fill="auto"/>
            <w:vAlign w:val="center"/>
          </w:tcPr>
          <w:p w14:paraId="53E0D111" w14:textId="77777777" w:rsidR="008D4678" w:rsidRPr="004213E1" w:rsidRDefault="008D4678" w:rsidP="000A162D">
            <w:pPr>
              <w:pStyle w:val="TableParagraph"/>
              <w:spacing w:before="4"/>
              <w:ind w:right="1"/>
              <w:jc w:val="center"/>
              <w:rPr>
                <w:rFonts w:ascii="Arial" w:eastAsia="Calibri" w:hAnsi="Arial" w:cs="Arial"/>
                <w:sz w:val="18"/>
                <w:szCs w:val="18"/>
                <w:lang w:val="cs-CZ"/>
              </w:rPr>
            </w:pPr>
            <w:r w:rsidRPr="004213E1">
              <w:rPr>
                <w:rFonts w:ascii="Arial" w:hAnsi="Arial" w:cs="Arial"/>
                <w:w w:val="105"/>
                <w:sz w:val="18"/>
                <w:szCs w:val="18"/>
                <w:lang w:val="cs-CZ"/>
              </w:rPr>
              <w:t>23/2011</w:t>
            </w:r>
            <w:r w:rsidRPr="004213E1">
              <w:rPr>
                <w:rFonts w:ascii="Arial" w:hAnsi="Arial" w:cs="Arial"/>
                <w:spacing w:val="-22"/>
                <w:w w:val="105"/>
                <w:sz w:val="18"/>
                <w:szCs w:val="18"/>
                <w:lang w:val="cs-CZ"/>
              </w:rPr>
              <w:t xml:space="preserve"> </w:t>
            </w:r>
            <w:r w:rsidRPr="004213E1">
              <w:rPr>
                <w:rFonts w:ascii="Arial" w:hAnsi="Arial" w:cs="Arial"/>
                <w:spacing w:val="-1"/>
                <w:w w:val="105"/>
                <w:sz w:val="18"/>
                <w:szCs w:val="18"/>
                <w:lang w:val="cs-CZ"/>
              </w:rPr>
              <w:t>Sb.</w:t>
            </w:r>
          </w:p>
        </w:tc>
        <w:tc>
          <w:tcPr>
            <w:tcW w:w="4810" w:type="dxa"/>
            <w:shd w:val="clear" w:color="auto" w:fill="auto"/>
            <w:vAlign w:val="center"/>
          </w:tcPr>
          <w:p w14:paraId="72C16AD7" w14:textId="77777777" w:rsidR="008D4678" w:rsidRPr="004213E1" w:rsidRDefault="00C359A8" w:rsidP="000A162D">
            <w:pPr>
              <w:pStyle w:val="TableParagraph"/>
              <w:spacing w:before="4"/>
              <w:ind w:left="142" w:right="1"/>
              <w:rPr>
                <w:rStyle w:val="Hypertextovodkaz"/>
                <w:rFonts w:cs="Arial"/>
                <w:color w:val="0000FF"/>
                <w:w w:val="105"/>
                <w:sz w:val="18"/>
                <w:szCs w:val="18"/>
                <w:u w:val="single"/>
              </w:rPr>
            </w:pPr>
            <w:hyperlink r:id="rId22" w:history="1">
              <w:r w:rsidR="008D4678" w:rsidRPr="004213E1">
                <w:rPr>
                  <w:rStyle w:val="Hypertextovodkaz"/>
                  <w:rFonts w:cs="Arial"/>
                  <w:color w:val="0000FF"/>
                  <w:w w:val="105"/>
                  <w:sz w:val="18"/>
                  <w:szCs w:val="18"/>
                  <w:u w:val="single"/>
                </w:rPr>
                <w:t>CIS for WFD, EQS Data Sheet, Brussels, 15.01.2005</w:t>
              </w:r>
            </w:hyperlink>
          </w:p>
        </w:tc>
      </w:tr>
    </w:tbl>
    <w:p w14:paraId="295C383F" w14:textId="77777777" w:rsidR="008D4678" w:rsidRPr="00482462" w:rsidRDefault="008D4678">
      <w:pPr>
        <w:rPr>
          <w:sz w:val="20"/>
          <w:szCs w:val="20"/>
        </w:rPr>
      </w:pPr>
    </w:p>
    <w:p w14:paraId="51E69B29" w14:textId="77777777" w:rsidR="00CC0D56" w:rsidRPr="00482462" w:rsidRDefault="00CC0D56">
      <w:pPr>
        <w:rPr>
          <w:sz w:val="20"/>
          <w:szCs w:val="20"/>
        </w:rPr>
      </w:pPr>
    </w:p>
    <w:sectPr w:rsidR="00CC0D56" w:rsidRPr="00482462" w:rsidSect="008D4678">
      <w:headerReference w:type="default" r:id="rId23"/>
      <w:footerReference w:type="default" r:id="rId24"/>
      <w:pgSz w:w="11906" w:h="16838" w:code="9"/>
      <w:pgMar w:top="1701" w:right="1134" w:bottom="1134" w:left="1418"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56EC789" w14:textId="77777777" w:rsidR="00AE4B37" w:rsidRDefault="00AE4B37">
      <w:r>
        <w:separator/>
      </w:r>
    </w:p>
  </w:endnote>
  <w:endnote w:type="continuationSeparator" w:id="0">
    <w:p w14:paraId="2F171F49" w14:textId="77777777" w:rsidR="00AE4B37" w:rsidRDefault="00AE4B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Fett">
    <w:altName w:val="Arial"/>
    <w:panose1 w:val="020B07040202020202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MT">
    <w:altName w:val="MS Gothic"/>
    <w:panose1 w:val="00000000000000000000"/>
    <w:charset w:val="80"/>
    <w:family w:val="auto"/>
    <w:notTrueType/>
    <w:pitch w:val="default"/>
    <w:sig w:usb0="00000003" w:usb1="08070000" w:usb2="00000010" w:usb3="00000000" w:csb0="0002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514F3F" w14:textId="1CAB082C" w:rsidR="00AE4B37" w:rsidRDefault="00AE4B37">
    <w:pPr>
      <w:pBdr>
        <w:top w:val="single" w:sz="4" w:space="1" w:color="auto"/>
      </w:pBdr>
      <w:tabs>
        <w:tab w:val="right" w:pos="9360"/>
      </w:tabs>
      <w:rPr>
        <w:rFonts w:cs="Arial"/>
        <w:sz w:val="14"/>
      </w:rPr>
    </w:pPr>
    <w:r>
      <w:rPr>
        <w:rFonts w:cs="Arial"/>
        <w:sz w:val="14"/>
      </w:rPr>
      <w:fldChar w:fldCharType="begin"/>
    </w:r>
    <w:r>
      <w:rPr>
        <w:rFonts w:cs="Arial"/>
        <w:sz w:val="14"/>
      </w:rPr>
      <w:instrText xml:space="preserve"> PAGE </w:instrText>
    </w:r>
    <w:r>
      <w:rPr>
        <w:rFonts w:cs="Arial"/>
        <w:sz w:val="14"/>
      </w:rPr>
      <w:fldChar w:fldCharType="separate"/>
    </w:r>
    <w:r w:rsidR="00C359A8">
      <w:rPr>
        <w:rFonts w:cs="Arial"/>
        <w:noProof/>
        <w:sz w:val="14"/>
      </w:rPr>
      <w:t>1</w:t>
    </w:r>
    <w:r>
      <w:rPr>
        <w:rFonts w:cs="Arial"/>
        <w:sz w:val="14"/>
      </w:rPr>
      <w:fldChar w:fldCharType="end"/>
    </w:r>
    <w:r>
      <w:rPr>
        <w:rFonts w:cs="Arial"/>
        <w:sz w:val="14"/>
      </w:rPr>
      <w:t>/</w:t>
    </w:r>
    <w:r>
      <w:rPr>
        <w:rFonts w:cs="Arial"/>
        <w:sz w:val="14"/>
      </w:rPr>
      <w:fldChar w:fldCharType="begin"/>
    </w:r>
    <w:r>
      <w:rPr>
        <w:rFonts w:cs="Arial"/>
        <w:sz w:val="14"/>
      </w:rPr>
      <w:instrText xml:space="preserve"> NUMPAGES </w:instrText>
    </w:r>
    <w:r>
      <w:rPr>
        <w:rFonts w:cs="Arial"/>
        <w:sz w:val="14"/>
      </w:rPr>
      <w:fldChar w:fldCharType="separate"/>
    </w:r>
    <w:r w:rsidR="00C359A8">
      <w:rPr>
        <w:rFonts w:cs="Arial"/>
        <w:noProof/>
        <w:sz w:val="14"/>
      </w:rPr>
      <w:t>8</w:t>
    </w:r>
    <w:r>
      <w:rPr>
        <w:rFonts w:cs="Arial"/>
        <w:sz w:val="14"/>
      </w:rPr>
      <w:fldChar w:fldCharType="end"/>
    </w:r>
    <w:r>
      <w:rPr>
        <w:rFonts w:cs="Arial"/>
        <w:sz w:val="14"/>
      </w:rPr>
      <w:tab/>
    </w:r>
    <w:r>
      <w:rPr>
        <w:rFonts w:cs="Arial"/>
        <w:sz w:val="14"/>
      </w:rPr>
      <w:fldChar w:fldCharType="begin"/>
    </w:r>
    <w:r>
      <w:rPr>
        <w:rFonts w:cs="Arial"/>
        <w:sz w:val="14"/>
      </w:rPr>
      <w:instrText xml:space="preserve"> FILENAME \p </w:instrText>
    </w:r>
    <w:r>
      <w:rPr>
        <w:rFonts w:cs="Arial"/>
        <w:sz w:val="14"/>
      </w:rPr>
      <w:fldChar w:fldCharType="separate"/>
    </w:r>
    <w:r w:rsidR="00B3346F">
      <w:rPr>
        <w:rFonts w:cs="Arial"/>
        <w:noProof/>
        <w:sz w:val="14"/>
      </w:rPr>
      <w:t>K:\AG\WFD\WFD46\CZ\Zaznam vysledku\Prilohy\MKOL-WFD46_Pr_06_ZV_Dopr. text_Aktualizace_prahovych_hodnot_200818.docx</w:t>
    </w:r>
    <w:r>
      <w:rPr>
        <w:rFonts w:cs="Arial"/>
        <w:sz w:val="14"/>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601D34" w14:textId="29492D33" w:rsidR="00AE4B37" w:rsidRDefault="00AE4B37">
    <w:pPr>
      <w:pBdr>
        <w:top w:val="single" w:sz="4" w:space="1" w:color="auto"/>
      </w:pBdr>
      <w:tabs>
        <w:tab w:val="right" w:pos="9360"/>
      </w:tabs>
      <w:rPr>
        <w:rFonts w:cs="Arial"/>
        <w:sz w:val="14"/>
      </w:rPr>
    </w:pPr>
    <w:r>
      <w:rPr>
        <w:rFonts w:cs="Arial"/>
        <w:sz w:val="14"/>
      </w:rPr>
      <w:fldChar w:fldCharType="begin"/>
    </w:r>
    <w:r>
      <w:rPr>
        <w:rFonts w:cs="Arial"/>
        <w:sz w:val="14"/>
      </w:rPr>
      <w:instrText xml:space="preserve"> PAGE </w:instrText>
    </w:r>
    <w:r>
      <w:rPr>
        <w:rFonts w:cs="Arial"/>
        <w:sz w:val="14"/>
      </w:rPr>
      <w:fldChar w:fldCharType="separate"/>
    </w:r>
    <w:r>
      <w:rPr>
        <w:rFonts w:cs="Arial"/>
        <w:noProof/>
        <w:sz w:val="14"/>
      </w:rPr>
      <w:t>1</w:t>
    </w:r>
    <w:r>
      <w:rPr>
        <w:rFonts w:cs="Arial"/>
        <w:sz w:val="14"/>
      </w:rPr>
      <w:fldChar w:fldCharType="end"/>
    </w:r>
    <w:r>
      <w:rPr>
        <w:rFonts w:cs="Arial"/>
        <w:sz w:val="14"/>
      </w:rPr>
      <w:t>/</w:t>
    </w:r>
    <w:r>
      <w:rPr>
        <w:rFonts w:cs="Arial"/>
        <w:sz w:val="14"/>
      </w:rPr>
      <w:fldChar w:fldCharType="begin"/>
    </w:r>
    <w:r>
      <w:rPr>
        <w:rFonts w:cs="Arial"/>
        <w:sz w:val="14"/>
      </w:rPr>
      <w:instrText xml:space="preserve"> NUMPAGES </w:instrText>
    </w:r>
    <w:r>
      <w:rPr>
        <w:rFonts w:cs="Arial"/>
        <w:sz w:val="14"/>
      </w:rPr>
      <w:fldChar w:fldCharType="separate"/>
    </w:r>
    <w:r w:rsidR="00AF74F8">
      <w:rPr>
        <w:rFonts w:cs="Arial"/>
        <w:noProof/>
        <w:sz w:val="14"/>
      </w:rPr>
      <w:t>8</w:t>
    </w:r>
    <w:r>
      <w:rPr>
        <w:rFonts w:cs="Arial"/>
        <w:sz w:val="14"/>
      </w:rPr>
      <w:fldChar w:fldCharType="end"/>
    </w:r>
    <w:r>
      <w:rPr>
        <w:rFonts w:cs="Arial"/>
        <w:sz w:val="14"/>
      </w:rPr>
      <w:tab/>
    </w:r>
    <w:r>
      <w:rPr>
        <w:rFonts w:cs="Arial"/>
        <w:sz w:val="14"/>
      </w:rPr>
      <w:fldChar w:fldCharType="begin"/>
    </w:r>
    <w:r>
      <w:rPr>
        <w:rFonts w:cs="Arial"/>
        <w:sz w:val="14"/>
      </w:rPr>
      <w:instrText xml:space="preserve"> FILENAME \p </w:instrText>
    </w:r>
    <w:r>
      <w:rPr>
        <w:rFonts w:cs="Arial"/>
        <w:sz w:val="14"/>
      </w:rPr>
      <w:fldChar w:fldCharType="separate"/>
    </w:r>
    <w:r w:rsidR="00AF74F8">
      <w:rPr>
        <w:rFonts w:cs="Arial"/>
        <w:noProof/>
        <w:sz w:val="14"/>
      </w:rPr>
      <w:t>K:\TAGUNG\31\CZ\Predlohy\BOD 04a (WFD)\Prilohy\MKOL-KOM31_18-4a-1_Pr_08_Dopr. text_Aktualizace_prahovych_hodnot_200818.docx</w:t>
    </w:r>
    <w:r>
      <w:rPr>
        <w:rFonts w:cs="Arial"/>
        <w:sz w:val="1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6DEE00" w14:textId="518EC3F1" w:rsidR="00AE4B37" w:rsidRDefault="00AE4B37" w:rsidP="008D4678">
    <w:pPr>
      <w:pBdr>
        <w:top w:val="single" w:sz="4" w:space="1" w:color="auto"/>
      </w:pBdr>
      <w:tabs>
        <w:tab w:val="right" w:pos="14003"/>
      </w:tabs>
      <w:rPr>
        <w:rFonts w:cs="Arial"/>
        <w:sz w:val="14"/>
      </w:rPr>
    </w:pPr>
    <w:r>
      <w:rPr>
        <w:rFonts w:cs="Arial"/>
        <w:sz w:val="14"/>
      </w:rPr>
      <w:fldChar w:fldCharType="begin"/>
    </w:r>
    <w:r>
      <w:rPr>
        <w:rFonts w:cs="Arial"/>
        <w:sz w:val="14"/>
      </w:rPr>
      <w:instrText xml:space="preserve"> PAGE </w:instrText>
    </w:r>
    <w:r>
      <w:rPr>
        <w:rFonts w:cs="Arial"/>
        <w:sz w:val="14"/>
      </w:rPr>
      <w:fldChar w:fldCharType="separate"/>
    </w:r>
    <w:r w:rsidR="00C359A8">
      <w:rPr>
        <w:rFonts w:cs="Arial"/>
        <w:noProof/>
        <w:sz w:val="14"/>
      </w:rPr>
      <w:t>5</w:t>
    </w:r>
    <w:r>
      <w:rPr>
        <w:rFonts w:cs="Arial"/>
        <w:sz w:val="14"/>
      </w:rPr>
      <w:fldChar w:fldCharType="end"/>
    </w:r>
    <w:r>
      <w:rPr>
        <w:rFonts w:cs="Arial"/>
        <w:sz w:val="14"/>
      </w:rPr>
      <w:t>/</w:t>
    </w:r>
    <w:r>
      <w:rPr>
        <w:rFonts w:cs="Arial"/>
        <w:sz w:val="14"/>
      </w:rPr>
      <w:fldChar w:fldCharType="begin"/>
    </w:r>
    <w:r>
      <w:rPr>
        <w:rFonts w:cs="Arial"/>
        <w:sz w:val="14"/>
      </w:rPr>
      <w:instrText xml:space="preserve"> NUMPAGES </w:instrText>
    </w:r>
    <w:r>
      <w:rPr>
        <w:rFonts w:cs="Arial"/>
        <w:sz w:val="14"/>
      </w:rPr>
      <w:fldChar w:fldCharType="separate"/>
    </w:r>
    <w:r w:rsidR="00C359A8">
      <w:rPr>
        <w:rFonts w:cs="Arial"/>
        <w:noProof/>
        <w:sz w:val="14"/>
      </w:rPr>
      <w:t>8</w:t>
    </w:r>
    <w:r>
      <w:rPr>
        <w:rFonts w:cs="Arial"/>
        <w:sz w:val="14"/>
      </w:rPr>
      <w:fldChar w:fldCharType="end"/>
    </w:r>
    <w:r>
      <w:rPr>
        <w:rFonts w:cs="Arial"/>
        <w:sz w:val="14"/>
      </w:rPr>
      <w:tab/>
    </w:r>
    <w:r>
      <w:rPr>
        <w:rFonts w:cs="Arial"/>
        <w:sz w:val="14"/>
      </w:rPr>
      <w:fldChar w:fldCharType="begin"/>
    </w:r>
    <w:r>
      <w:rPr>
        <w:rFonts w:cs="Arial"/>
        <w:sz w:val="14"/>
      </w:rPr>
      <w:instrText xml:space="preserve"> FILENAME \p </w:instrText>
    </w:r>
    <w:r>
      <w:rPr>
        <w:rFonts w:cs="Arial"/>
        <w:sz w:val="14"/>
      </w:rPr>
      <w:fldChar w:fldCharType="separate"/>
    </w:r>
    <w:r w:rsidR="00B3346F">
      <w:rPr>
        <w:rFonts w:cs="Arial"/>
        <w:noProof/>
        <w:sz w:val="14"/>
      </w:rPr>
      <w:t>K:\AG\WFD\WFD46\CZ\Zaznam vysledku\Prilohy\MKOL-WFD46_Pr_06_ZV_Dopr. text_Aktualizace_prahovych_hodnot_200818.docx</w:t>
    </w:r>
    <w:r>
      <w:rPr>
        <w:rFonts w:cs="Arial"/>
        <w:sz w:val="14"/>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04E64A" w14:textId="29BA1873" w:rsidR="00AE4B37" w:rsidRDefault="00AE4B37">
    <w:pPr>
      <w:pBdr>
        <w:top w:val="single" w:sz="4" w:space="1" w:color="auto"/>
      </w:pBdr>
      <w:tabs>
        <w:tab w:val="right" w:pos="9360"/>
      </w:tabs>
      <w:rPr>
        <w:rFonts w:cs="Arial"/>
        <w:sz w:val="14"/>
      </w:rPr>
    </w:pPr>
    <w:r>
      <w:rPr>
        <w:rFonts w:cs="Arial"/>
        <w:sz w:val="14"/>
      </w:rPr>
      <w:fldChar w:fldCharType="begin"/>
    </w:r>
    <w:r>
      <w:rPr>
        <w:rFonts w:cs="Arial"/>
        <w:sz w:val="14"/>
      </w:rPr>
      <w:instrText xml:space="preserve"> PAGE </w:instrText>
    </w:r>
    <w:r>
      <w:rPr>
        <w:rFonts w:cs="Arial"/>
        <w:sz w:val="14"/>
      </w:rPr>
      <w:fldChar w:fldCharType="separate"/>
    </w:r>
    <w:r w:rsidR="00C359A8">
      <w:rPr>
        <w:rFonts w:cs="Arial"/>
        <w:noProof/>
        <w:sz w:val="14"/>
      </w:rPr>
      <w:t>8</w:t>
    </w:r>
    <w:r>
      <w:rPr>
        <w:rFonts w:cs="Arial"/>
        <w:sz w:val="14"/>
      </w:rPr>
      <w:fldChar w:fldCharType="end"/>
    </w:r>
    <w:r>
      <w:rPr>
        <w:rFonts w:cs="Arial"/>
        <w:sz w:val="14"/>
      </w:rPr>
      <w:t>/</w:t>
    </w:r>
    <w:r>
      <w:rPr>
        <w:rFonts w:cs="Arial"/>
        <w:sz w:val="14"/>
      </w:rPr>
      <w:fldChar w:fldCharType="begin"/>
    </w:r>
    <w:r>
      <w:rPr>
        <w:rFonts w:cs="Arial"/>
        <w:sz w:val="14"/>
      </w:rPr>
      <w:instrText xml:space="preserve"> NUMPAGES </w:instrText>
    </w:r>
    <w:r>
      <w:rPr>
        <w:rFonts w:cs="Arial"/>
        <w:sz w:val="14"/>
      </w:rPr>
      <w:fldChar w:fldCharType="separate"/>
    </w:r>
    <w:r w:rsidR="00C359A8">
      <w:rPr>
        <w:rFonts w:cs="Arial"/>
        <w:noProof/>
        <w:sz w:val="14"/>
      </w:rPr>
      <w:t>8</w:t>
    </w:r>
    <w:r>
      <w:rPr>
        <w:rFonts w:cs="Arial"/>
        <w:sz w:val="14"/>
      </w:rPr>
      <w:fldChar w:fldCharType="end"/>
    </w:r>
    <w:r>
      <w:rPr>
        <w:rFonts w:cs="Arial"/>
        <w:sz w:val="14"/>
      </w:rPr>
      <w:tab/>
    </w:r>
    <w:r>
      <w:rPr>
        <w:rFonts w:cs="Arial"/>
        <w:sz w:val="14"/>
      </w:rPr>
      <w:fldChar w:fldCharType="begin"/>
    </w:r>
    <w:r>
      <w:rPr>
        <w:rFonts w:cs="Arial"/>
        <w:sz w:val="14"/>
      </w:rPr>
      <w:instrText xml:space="preserve"> FILENAME \p </w:instrText>
    </w:r>
    <w:r>
      <w:rPr>
        <w:rFonts w:cs="Arial"/>
        <w:sz w:val="14"/>
      </w:rPr>
      <w:fldChar w:fldCharType="separate"/>
    </w:r>
    <w:r w:rsidR="00B3346F">
      <w:rPr>
        <w:rFonts w:cs="Arial"/>
        <w:noProof/>
        <w:sz w:val="14"/>
      </w:rPr>
      <w:t>K:\AG\WFD\WFD46\CZ\Zaznam vysledku\Prilohy\MKOL-WFD46_Pr_06_ZV_Dopr. text_Aktualizace_prahovych_hodnot_200818.docx</w:t>
    </w:r>
    <w:r>
      <w:rPr>
        <w:rFonts w:cs="Arial"/>
        <w:sz w:val="1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DEA3087" w14:textId="77777777" w:rsidR="00AE4B37" w:rsidRDefault="00AE4B37">
      <w:r>
        <w:separator/>
      </w:r>
    </w:p>
  </w:footnote>
  <w:footnote w:type="continuationSeparator" w:id="0">
    <w:p w14:paraId="0B78C8F7" w14:textId="77777777" w:rsidR="00AE4B37" w:rsidRDefault="00AE4B37">
      <w:r>
        <w:continuationSeparator/>
      </w:r>
    </w:p>
  </w:footnote>
  <w:footnote w:id="1">
    <w:p w14:paraId="210CB193" w14:textId="77777777" w:rsidR="00AE4B37" w:rsidRPr="008B5390" w:rsidRDefault="00AE4B37" w:rsidP="008B5390">
      <w:pPr>
        <w:pStyle w:val="Textpoznpodarou"/>
        <w:ind w:left="170" w:hanging="170"/>
        <w:rPr>
          <w:sz w:val="16"/>
          <w:szCs w:val="16"/>
        </w:rPr>
      </w:pPr>
      <w:r>
        <w:rPr>
          <w:rStyle w:val="Znakapoznpodarou"/>
        </w:rPr>
        <w:footnoteRef/>
      </w:r>
      <w:r w:rsidRPr="008B5390">
        <w:rPr>
          <w:sz w:val="16"/>
          <w:szCs w:val="16"/>
        </w:rPr>
        <w:tab/>
        <w:t>Směrnice</w:t>
      </w:r>
      <w:r>
        <w:rPr>
          <w:sz w:val="16"/>
          <w:szCs w:val="16"/>
        </w:rPr>
        <w:t xml:space="preserve"> Evropského parlamentu a Rady 2008/105/ES ze dne 16. prosince 2008 o normách environmentální kvality v oblasti vodní politiky, změně a následném zrušení směrnic Rady 82/176/EHS, 83/513/EHS, 84/156/EHS, 84/491/EHS a 86/280/EHS a změně směrnice Evropského parlamentu a Rady 200/60/ES. Vstoupení v </w:t>
      </w:r>
      <w:proofErr w:type="gramStart"/>
      <w:r>
        <w:rPr>
          <w:sz w:val="16"/>
          <w:szCs w:val="16"/>
        </w:rPr>
        <w:t>platnost</w:t>
      </w:r>
      <w:proofErr w:type="gramEnd"/>
      <w:r>
        <w:rPr>
          <w:sz w:val="16"/>
          <w:szCs w:val="16"/>
        </w:rPr>
        <w:t>: 13. 1. 2009.</w:t>
      </w:r>
    </w:p>
  </w:footnote>
  <w:footnote w:id="2">
    <w:p w14:paraId="7F050CAC" w14:textId="77777777" w:rsidR="00AE4B37" w:rsidRPr="00940441" w:rsidRDefault="00AE4B37" w:rsidP="00940441">
      <w:pPr>
        <w:pStyle w:val="Textpoznpodarou"/>
        <w:ind w:left="170" w:hanging="170"/>
        <w:rPr>
          <w:sz w:val="16"/>
          <w:szCs w:val="16"/>
        </w:rPr>
      </w:pPr>
      <w:r>
        <w:rPr>
          <w:rStyle w:val="Znakapoznpodarou"/>
        </w:rPr>
        <w:footnoteRef/>
      </w:r>
      <w:r w:rsidRPr="00940441">
        <w:rPr>
          <w:sz w:val="16"/>
          <w:szCs w:val="16"/>
        </w:rPr>
        <w:tab/>
        <w:t>Směrnice</w:t>
      </w:r>
      <w:r>
        <w:rPr>
          <w:sz w:val="16"/>
          <w:szCs w:val="16"/>
        </w:rPr>
        <w:t xml:space="preserve"> Evropského parlamentu a Rady 2013/39/EU ze dne 12. srpna 2013, kterou se mění směrnice 2000/60/ES a 2008/105/ES, pokud jde o prioritní látky v oblasti vodní politiky. Vstoupení v </w:t>
      </w:r>
      <w:proofErr w:type="gramStart"/>
      <w:r>
        <w:rPr>
          <w:sz w:val="16"/>
          <w:szCs w:val="16"/>
        </w:rPr>
        <w:t>platnost</w:t>
      </w:r>
      <w:proofErr w:type="gramEnd"/>
      <w:r>
        <w:rPr>
          <w:sz w:val="16"/>
          <w:szCs w:val="16"/>
        </w:rPr>
        <w:t>: 1. 10. 2013.</w:t>
      </w:r>
    </w:p>
  </w:footnote>
  <w:footnote w:id="3">
    <w:p w14:paraId="7FC40C21" w14:textId="77777777" w:rsidR="00AE4B37" w:rsidRPr="00CE2CED" w:rsidRDefault="00AE4B37" w:rsidP="003A12F6">
      <w:pPr>
        <w:pStyle w:val="Textpoznpodarou"/>
        <w:ind w:left="170" w:hanging="170"/>
        <w:rPr>
          <w:sz w:val="16"/>
          <w:szCs w:val="16"/>
        </w:rPr>
      </w:pPr>
      <w:r>
        <w:rPr>
          <w:rStyle w:val="Znakapoznpodarou"/>
        </w:rPr>
        <w:footnoteRef/>
      </w:r>
      <w:r w:rsidRPr="00CE2CED">
        <w:rPr>
          <w:sz w:val="16"/>
          <w:szCs w:val="16"/>
        </w:rPr>
        <w:tab/>
        <w:t xml:space="preserve">Zde se jedná o odvozenou hodnotu dle </w:t>
      </w:r>
      <w:proofErr w:type="spellStart"/>
      <w:r w:rsidRPr="00CE2CED">
        <w:rPr>
          <w:sz w:val="16"/>
          <w:szCs w:val="16"/>
        </w:rPr>
        <w:t>Heise</w:t>
      </w:r>
      <w:proofErr w:type="spellEnd"/>
      <w:r w:rsidRPr="00CE2CED">
        <w:rPr>
          <w:sz w:val="16"/>
          <w:szCs w:val="16"/>
        </w:rPr>
        <w:t xml:space="preserve"> et al. 2008.</w:t>
      </w:r>
    </w:p>
  </w:footnote>
  <w:footnote w:id="4">
    <w:p w14:paraId="1F1252B0" w14:textId="77777777" w:rsidR="00AE4B37" w:rsidRPr="00514600" w:rsidRDefault="00AE4B37" w:rsidP="00514600">
      <w:pPr>
        <w:pStyle w:val="Textpoznpodarou"/>
        <w:ind w:left="170" w:hanging="170"/>
        <w:rPr>
          <w:sz w:val="16"/>
          <w:szCs w:val="16"/>
        </w:rPr>
      </w:pPr>
      <w:r>
        <w:rPr>
          <w:rStyle w:val="Znakapoznpodarou"/>
        </w:rPr>
        <w:footnoteRef/>
      </w:r>
      <w:r w:rsidRPr="00514600">
        <w:rPr>
          <w:sz w:val="16"/>
          <w:szCs w:val="16"/>
        </w:rPr>
        <w:tab/>
      </w:r>
      <w:r>
        <w:rPr>
          <w:sz w:val="16"/>
          <w:szCs w:val="16"/>
        </w:rPr>
        <w:t>Jedná se o standardy kvality, publikované v roce 2005</w:t>
      </w:r>
      <w:r w:rsidRPr="005B253F">
        <w:rPr>
          <w:rFonts w:cs="Arial"/>
          <w:sz w:val="16"/>
          <w:szCs w:val="16"/>
        </w:rPr>
        <w:t xml:space="preserve"> </w:t>
      </w:r>
      <w:r w:rsidRPr="00514600">
        <w:rPr>
          <w:rFonts w:cs="Arial"/>
          <w:sz w:val="16"/>
          <w:szCs w:val="16"/>
        </w:rPr>
        <w:t>pod názvem „</w:t>
      </w:r>
      <w:proofErr w:type="spellStart"/>
      <w:r w:rsidRPr="00514600">
        <w:rPr>
          <w:rFonts w:cs="Arial"/>
          <w:sz w:val="16"/>
          <w:szCs w:val="16"/>
        </w:rPr>
        <w:t>Environmental</w:t>
      </w:r>
      <w:proofErr w:type="spellEnd"/>
      <w:r w:rsidRPr="00514600">
        <w:rPr>
          <w:rFonts w:cs="Arial"/>
          <w:sz w:val="16"/>
          <w:szCs w:val="16"/>
        </w:rPr>
        <w:t xml:space="preserve"> </w:t>
      </w:r>
      <w:proofErr w:type="spellStart"/>
      <w:r w:rsidRPr="00514600">
        <w:rPr>
          <w:rFonts w:cs="Arial"/>
          <w:sz w:val="16"/>
          <w:szCs w:val="16"/>
        </w:rPr>
        <w:t>Quality</w:t>
      </w:r>
      <w:proofErr w:type="spellEnd"/>
      <w:r w:rsidRPr="00514600">
        <w:rPr>
          <w:rFonts w:cs="Arial"/>
          <w:sz w:val="16"/>
          <w:szCs w:val="16"/>
        </w:rPr>
        <w:t xml:space="preserve"> </w:t>
      </w:r>
      <w:proofErr w:type="spellStart"/>
      <w:r w:rsidRPr="00514600">
        <w:rPr>
          <w:rFonts w:cs="Arial"/>
          <w:sz w:val="16"/>
          <w:szCs w:val="16"/>
        </w:rPr>
        <w:t>Standards</w:t>
      </w:r>
      <w:proofErr w:type="spellEnd"/>
      <w:r w:rsidRPr="00514600">
        <w:rPr>
          <w:rFonts w:cs="Arial"/>
          <w:sz w:val="16"/>
          <w:szCs w:val="16"/>
        </w:rPr>
        <w:t xml:space="preserve"> (</w:t>
      </w:r>
      <w:proofErr w:type="gramStart"/>
      <w:r w:rsidRPr="00514600">
        <w:rPr>
          <w:rFonts w:cs="Arial"/>
          <w:sz w:val="16"/>
          <w:szCs w:val="16"/>
        </w:rPr>
        <w:t>EQS) - Substance</w:t>
      </w:r>
      <w:proofErr w:type="gramEnd"/>
      <w:r w:rsidRPr="00514600">
        <w:rPr>
          <w:rFonts w:cs="Arial"/>
          <w:sz w:val="16"/>
          <w:szCs w:val="16"/>
        </w:rPr>
        <w:t xml:space="preserve"> Data </w:t>
      </w:r>
      <w:proofErr w:type="spellStart"/>
      <w:r w:rsidRPr="00514600">
        <w:rPr>
          <w:rFonts w:cs="Arial"/>
          <w:sz w:val="16"/>
          <w:szCs w:val="16"/>
        </w:rPr>
        <w:t>Sheets</w:t>
      </w:r>
      <w:proofErr w:type="spellEnd"/>
      <w:r w:rsidRPr="00514600">
        <w:rPr>
          <w:rFonts w:cs="Arial"/>
          <w:sz w:val="16"/>
          <w:szCs w:val="16"/>
        </w:rPr>
        <w:t>“</w:t>
      </w:r>
      <w:r>
        <w:rPr>
          <w:sz w:val="16"/>
          <w:szCs w:val="16"/>
        </w:rPr>
        <w:t xml:space="preserve">, které byly vypracovány </w:t>
      </w:r>
      <w:r w:rsidRPr="00514600">
        <w:rPr>
          <w:rFonts w:cs="Arial"/>
          <w:sz w:val="16"/>
          <w:szCs w:val="16"/>
        </w:rPr>
        <w:t>v</w:t>
      </w:r>
      <w:r>
        <w:rPr>
          <w:rFonts w:cs="Arial"/>
          <w:sz w:val="16"/>
          <w:szCs w:val="16"/>
        </w:rPr>
        <w:t> </w:t>
      </w:r>
      <w:r w:rsidRPr="00514600">
        <w:rPr>
          <w:rFonts w:cs="Arial"/>
          <w:sz w:val="16"/>
          <w:szCs w:val="16"/>
        </w:rPr>
        <w:t>rámci „Společné implementační strategie“ k</w:t>
      </w:r>
      <w:r>
        <w:rPr>
          <w:rFonts w:cs="Arial"/>
          <w:sz w:val="16"/>
          <w:szCs w:val="16"/>
        </w:rPr>
        <w:t> </w:t>
      </w:r>
      <w:r w:rsidRPr="00514600">
        <w:rPr>
          <w:rFonts w:cs="Arial"/>
          <w:sz w:val="16"/>
          <w:szCs w:val="16"/>
        </w:rPr>
        <w:t>Rámcové směrnici o vodách (proces CIS) v pracovních skupinách pod zastřešením EU</w:t>
      </w:r>
      <w:r>
        <w:rPr>
          <w:rFonts w:cs="Arial"/>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1E7016" w14:textId="0D8948E9" w:rsidR="00AE4B37" w:rsidRDefault="00AE4B37">
    <w:pPr>
      <w:pStyle w:val="Zhlav"/>
      <w:tabs>
        <w:tab w:val="clear" w:pos="9356"/>
        <w:tab w:val="right" w:pos="9360"/>
      </w:tabs>
      <w:ind w:left="0"/>
    </w:pPr>
    <w:r>
      <w:rPr>
        <w:noProof/>
        <w:lang w:val="de-DE"/>
      </w:rPr>
      <w:drawing>
        <wp:inline distT="0" distB="0" distL="0" distR="0" wp14:anchorId="47A51447" wp14:editId="2307B798">
          <wp:extent cx="286385" cy="230505"/>
          <wp:effectExtent l="0" t="0" r="0" b="0"/>
          <wp:docPr id="1" name="obrázek 1" descr="..\..\IKSE-Sekretariat\Logo IKSE\IKSE-MKOL-Logo-4F-Vorlage 600DPI-8m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KSE-Sekretariat\Logo IKSE\IKSE-MKOL-Logo-4F-Vorlage 600DPI-8mm.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6385" cy="230505"/>
                  </a:xfrm>
                  <a:prstGeom prst="rect">
                    <a:avLst/>
                  </a:prstGeom>
                  <a:noFill/>
                  <a:ln>
                    <a:noFill/>
                  </a:ln>
                </pic:spPr>
              </pic:pic>
            </a:graphicData>
          </a:graphic>
        </wp:inline>
      </w:drawing>
    </w:r>
    <w:r>
      <w:rPr>
        <w:rFonts w:cs="Arial"/>
        <w:lang w:val="it-IT"/>
      </w:rPr>
      <w:tab/>
    </w:r>
    <w:r w:rsidR="00064745" w:rsidRPr="00064745">
      <w:rPr>
        <w:rFonts w:cs="Arial"/>
      </w:rPr>
      <w:t xml:space="preserve">Příloha </w:t>
    </w:r>
    <w:r w:rsidR="00B3346F">
      <w:rPr>
        <w:rFonts w:cs="Arial"/>
      </w:rPr>
      <w:t>6</w:t>
    </w:r>
  </w:p>
  <w:p w14:paraId="55BEC8B8" w14:textId="3C062BEC" w:rsidR="00AE4B37" w:rsidRDefault="00AE4B37">
    <w:pPr>
      <w:pStyle w:val="Kopfzeile2"/>
    </w:pPr>
    <w:r>
      <w:t>Pracovní skupina WFD</w:t>
    </w:r>
    <w:r>
      <w:tab/>
      <w:t>k</w:t>
    </w:r>
    <w:r w:rsidR="00B3346F">
      <w:t xml:space="preserve"> záznamu výsledků 46. </w:t>
    </w:r>
    <w:proofErr w:type="spellStart"/>
    <w:r w:rsidR="00B3346F">
      <w:t>porady</w:t>
    </w:r>
    <w:proofErr w:type="spellEnd"/>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565B04" w14:textId="77777777" w:rsidR="00AE4B37" w:rsidRDefault="00AE4B37">
    <w:pPr>
      <w:pStyle w:val="Zhlav"/>
    </w:pPr>
    <w:r>
      <w:rPr>
        <w:noProof/>
        <w:lang w:val="de-DE"/>
      </w:rPr>
      <w:drawing>
        <wp:inline distT="0" distB="0" distL="0" distR="0" wp14:anchorId="7A1B06DA" wp14:editId="79E2C1B8">
          <wp:extent cx="341630" cy="270510"/>
          <wp:effectExtent l="0" t="0" r="0" b="0"/>
          <wp:docPr id="2" name="obrázek 2" descr="..\..\..\..\..\WORK\INFO\IKSE Logo\IKSE-MKOL-Logo-4F.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WORK\INFO\IKSE Logo\IKSE-MKOL-Logo-4F.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1630" cy="270510"/>
                  </a:xfrm>
                  <a:prstGeom prst="rect">
                    <a:avLst/>
                  </a:prstGeom>
                  <a:noFill/>
                  <a:ln>
                    <a:noFill/>
                  </a:ln>
                </pic:spPr>
              </pic:pic>
            </a:graphicData>
          </a:graphic>
        </wp:inline>
      </w:drawing>
    </w:r>
    <w:r>
      <w:tab/>
    </w:r>
    <w:proofErr w:type="spellStart"/>
    <w:r>
      <w:t>Entwurf</w:t>
    </w:r>
    <w:proofErr w:type="spellEnd"/>
    <w:r>
      <w:t xml:space="preserve">, </w:t>
    </w:r>
    <w:proofErr w:type="spellStart"/>
    <w:r>
      <w:t>Stand</w:t>
    </w:r>
    <w:proofErr w:type="spellEnd"/>
    <w:r>
      <w:t xml:space="preserve">: </w:t>
    </w:r>
  </w:p>
  <w:p w14:paraId="51EE9A91" w14:textId="77777777" w:rsidR="00AE4B37" w:rsidRDefault="00AE4B37">
    <w:pPr>
      <w:pStyle w:val="Kopfzeile2"/>
    </w:pPr>
    <w:proofErr w:type="spellStart"/>
    <w:r>
      <w:t>Arbeitsgruppe</w:t>
    </w:r>
    <w:proofErr w:type="spellEnd"/>
    <w:r>
      <w:t xml:space="preserve"> WFD</w:t>
    </w:r>
    <w:r>
      <w:tab/>
    </w:r>
    <w:proofErr w:type="spellStart"/>
    <w:r>
      <w:t>Ergebnisvermerk</w:t>
    </w:r>
    <w:proofErr w:type="spellEnd"/>
    <w:r>
      <w:t xml:space="preserve"> 17. </w:t>
    </w:r>
    <w:proofErr w:type="spellStart"/>
    <w:r>
      <w:t>Beratung</w:t>
    </w:r>
    <w:proofErr w:type="spellEnd"/>
    <w: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35BEC2" w14:textId="7B30BFD5" w:rsidR="00AE4B37" w:rsidRPr="00064745" w:rsidRDefault="00AE4B37" w:rsidP="008D4678">
    <w:pPr>
      <w:pStyle w:val="Zhlav"/>
      <w:tabs>
        <w:tab w:val="clear" w:pos="9356"/>
        <w:tab w:val="right" w:pos="14003"/>
      </w:tabs>
      <w:ind w:left="0"/>
    </w:pPr>
    <w:r>
      <w:rPr>
        <w:noProof/>
        <w:lang w:val="de-DE"/>
      </w:rPr>
      <w:drawing>
        <wp:inline distT="0" distB="0" distL="0" distR="0" wp14:anchorId="0B2E98AC" wp14:editId="15A3B675">
          <wp:extent cx="286385" cy="230505"/>
          <wp:effectExtent l="0" t="0" r="0" b="0"/>
          <wp:docPr id="3" name="obrázek 1" descr="..\..\IKSE-Sekretariat\Logo IKSE\IKSE-MKOL-Logo-4F-Vorlage 600DPI-8m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KSE-Sekretariat\Logo IKSE\IKSE-MKOL-Logo-4F-Vorlage 600DPI-8mm.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6385" cy="230505"/>
                  </a:xfrm>
                  <a:prstGeom prst="rect">
                    <a:avLst/>
                  </a:prstGeom>
                  <a:noFill/>
                  <a:ln>
                    <a:noFill/>
                  </a:ln>
                </pic:spPr>
              </pic:pic>
            </a:graphicData>
          </a:graphic>
        </wp:inline>
      </w:drawing>
    </w:r>
    <w:r>
      <w:rPr>
        <w:rFonts w:cs="Arial"/>
        <w:lang w:val="it-IT"/>
      </w:rPr>
      <w:tab/>
    </w:r>
    <w:r w:rsidR="00064745" w:rsidRPr="00064745">
      <w:rPr>
        <w:rFonts w:cs="Arial"/>
      </w:rPr>
      <w:t xml:space="preserve">Příloha </w:t>
    </w:r>
    <w:r w:rsidR="00B3346F">
      <w:rPr>
        <w:rFonts w:cs="Arial"/>
      </w:rPr>
      <w:t>6</w:t>
    </w:r>
  </w:p>
  <w:p w14:paraId="20E40D5E" w14:textId="0E2999C2" w:rsidR="00AE4B37" w:rsidRDefault="00B3346F" w:rsidP="008D4678">
    <w:pPr>
      <w:pStyle w:val="Kopfzeile2"/>
      <w:tabs>
        <w:tab w:val="clear" w:pos="9360"/>
        <w:tab w:val="right" w:pos="14003"/>
      </w:tabs>
    </w:pPr>
    <w:r>
      <w:t>Pracovní skupina WFD</w:t>
    </w:r>
    <w:r w:rsidRPr="007B600C">
      <w:tab/>
    </w:r>
    <w:r>
      <w:t>k záznamu výsledků 46. porady</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5B6E0A" w14:textId="5D64206B" w:rsidR="00AE4B37" w:rsidRPr="00064745" w:rsidRDefault="00AE4B37">
    <w:pPr>
      <w:pStyle w:val="Zhlav"/>
      <w:tabs>
        <w:tab w:val="clear" w:pos="9356"/>
        <w:tab w:val="right" w:pos="9360"/>
      </w:tabs>
      <w:ind w:left="0"/>
    </w:pPr>
    <w:r>
      <w:rPr>
        <w:noProof/>
        <w:lang w:val="de-DE"/>
      </w:rPr>
      <w:drawing>
        <wp:inline distT="0" distB="0" distL="0" distR="0" wp14:anchorId="449B7448" wp14:editId="1AC8B677">
          <wp:extent cx="286385" cy="230505"/>
          <wp:effectExtent l="0" t="0" r="0" b="0"/>
          <wp:docPr id="4" name="obrázek 1" descr="..\..\IKSE-Sekretariat\Logo IKSE\IKSE-MKOL-Logo-4F-Vorlage 600DPI-8m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KSE-Sekretariat\Logo IKSE\IKSE-MKOL-Logo-4F-Vorlage 600DPI-8mm.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6385" cy="230505"/>
                  </a:xfrm>
                  <a:prstGeom prst="rect">
                    <a:avLst/>
                  </a:prstGeom>
                  <a:noFill/>
                  <a:ln>
                    <a:noFill/>
                  </a:ln>
                </pic:spPr>
              </pic:pic>
            </a:graphicData>
          </a:graphic>
        </wp:inline>
      </w:drawing>
    </w:r>
    <w:r>
      <w:rPr>
        <w:rFonts w:cs="Arial"/>
        <w:lang w:val="it-IT"/>
      </w:rPr>
      <w:tab/>
    </w:r>
    <w:r w:rsidR="00064745" w:rsidRPr="00064745">
      <w:rPr>
        <w:rFonts w:cs="Arial"/>
      </w:rPr>
      <w:t xml:space="preserve">Příloha </w:t>
    </w:r>
    <w:r w:rsidR="00C359A8">
      <w:rPr>
        <w:rFonts w:cs="Arial"/>
      </w:rPr>
      <w:t>6</w:t>
    </w:r>
  </w:p>
  <w:p w14:paraId="12991F39" w14:textId="2A58059D" w:rsidR="00AE4B37" w:rsidRDefault="00B3346F">
    <w:pPr>
      <w:pStyle w:val="Kopfzeile2"/>
    </w:pPr>
    <w:r>
      <w:t>Pracovní skupina WFD</w:t>
    </w:r>
    <w:r w:rsidRPr="007B600C">
      <w:tab/>
    </w:r>
    <w:r>
      <w:t>k záznamu výsledků 46. porady</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C1744E"/>
    <w:multiLevelType w:val="hybridMultilevel"/>
    <w:tmpl w:val="58FE6532"/>
    <w:lvl w:ilvl="0" w:tplc="614C0B90">
      <w:start w:val="1"/>
      <w:numFmt w:val="decimal"/>
      <w:lvlText w:val="%1."/>
      <w:lvlJc w:val="left"/>
      <w:pPr>
        <w:tabs>
          <w:tab w:val="num" w:pos="567"/>
        </w:tabs>
        <w:ind w:left="567" w:hanging="567"/>
      </w:pPr>
      <w:rPr>
        <w:rFonts w:hint="default"/>
      </w:rPr>
    </w:lvl>
    <w:lvl w:ilvl="1" w:tplc="96D4EE44">
      <w:start w:val="1"/>
      <w:numFmt w:val="bullet"/>
      <w:lvlText w:val=""/>
      <w:lvlJc w:val="left"/>
      <w:pPr>
        <w:tabs>
          <w:tab w:val="num" w:pos="1440"/>
        </w:tabs>
        <w:ind w:left="1364" w:hanging="284"/>
      </w:pPr>
      <w:rPr>
        <w:rFonts w:ascii="Wingdings 2" w:hAnsi="Wingdings 2" w:hint="default"/>
        <w:color w:val="333399"/>
        <w:sz w:val="16"/>
        <w:u w:color="333399"/>
      </w:r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 w15:restartNumberingAfterBreak="0">
    <w:nsid w:val="1BB36B52"/>
    <w:multiLevelType w:val="multilevel"/>
    <w:tmpl w:val="5FDAAE24"/>
    <w:lvl w:ilvl="0">
      <w:start w:val="1"/>
      <w:numFmt w:val="decimal"/>
      <w:lvlText w:val="Příloha %1:"/>
      <w:lvlJc w:val="left"/>
      <w:pPr>
        <w:tabs>
          <w:tab w:val="num" w:pos="1080"/>
        </w:tabs>
        <w:ind w:left="567" w:hanging="567"/>
      </w:pPr>
      <w:rPr>
        <w:rFonts w:ascii="Arial" w:hAnsi="Arial" w:hint="default"/>
        <w:b/>
        <w:i w:val="0"/>
        <w:sz w:val="22"/>
      </w:rPr>
    </w:lvl>
    <w:lvl w:ilvl="1">
      <w:start w:val="1"/>
      <w:numFmt w:val="decimal"/>
      <w:isLgl/>
      <w:lvlText w:val="%1TOP .1"/>
      <w:lvlJc w:val="left"/>
      <w:pPr>
        <w:tabs>
          <w:tab w:val="num" w:pos="1080"/>
        </w:tabs>
        <w:ind w:left="567" w:hanging="567"/>
      </w:pPr>
      <w:rPr>
        <w:rFonts w:ascii="Arial" w:hAnsi="Arial" w:hint="default"/>
        <w:b/>
        <w:i w:val="0"/>
        <w:sz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 w15:restartNumberingAfterBreak="0">
    <w:nsid w:val="2FB90668"/>
    <w:multiLevelType w:val="hybridMultilevel"/>
    <w:tmpl w:val="EE1EB2E6"/>
    <w:lvl w:ilvl="0" w:tplc="98C68F86">
      <w:start w:val="1"/>
      <w:numFmt w:val="bullet"/>
      <w:pStyle w:val="Kstchen"/>
      <w:lvlText w:val=""/>
      <w:lvlJc w:val="left"/>
      <w:pPr>
        <w:tabs>
          <w:tab w:val="num" w:pos="851"/>
        </w:tabs>
        <w:ind w:left="851" w:hanging="567"/>
      </w:pPr>
      <w:rPr>
        <w:rFonts w:ascii="Wingdings 2" w:hAnsi="Wingdings 2" w:hint="default"/>
        <w:color w:val="005FA9"/>
        <w:sz w:val="18"/>
        <w:u w:color="005FA9"/>
      </w:rPr>
    </w:lvl>
    <w:lvl w:ilvl="1" w:tplc="04070003" w:tentative="1">
      <w:start w:val="1"/>
      <w:numFmt w:val="bullet"/>
      <w:lvlText w:val="o"/>
      <w:lvlJc w:val="left"/>
      <w:pPr>
        <w:tabs>
          <w:tab w:val="num" w:pos="1724"/>
        </w:tabs>
        <w:ind w:left="1724" w:hanging="360"/>
      </w:pPr>
      <w:rPr>
        <w:rFonts w:ascii="Courier New" w:hAnsi="Courier New" w:hint="default"/>
      </w:rPr>
    </w:lvl>
    <w:lvl w:ilvl="2" w:tplc="04070005" w:tentative="1">
      <w:start w:val="1"/>
      <w:numFmt w:val="bullet"/>
      <w:lvlText w:val=""/>
      <w:lvlJc w:val="left"/>
      <w:pPr>
        <w:tabs>
          <w:tab w:val="num" w:pos="2444"/>
        </w:tabs>
        <w:ind w:left="2444" w:hanging="360"/>
      </w:pPr>
      <w:rPr>
        <w:rFonts w:ascii="Wingdings" w:hAnsi="Wingdings" w:hint="default"/>
      </w:rPr>
    </w:lvl>
    <w:lvl w:ilvl="3" w:tplc="04070001" w:tentative="1">
      <w:start w:val="1"/>
      <w:numFmt w:val="bullet"/>
      <w:lvlText w:val=""/>
      <w:lvlJc w:val="left"/>
      <w:pPr>
        <w:tabs>
          <w:tab w:val="num" w:pos="3164"/>
        </w:tabs>
        <w:ind w:left="3164" w:hanging="360"/>
      </w:pPr>
      <w:rPr>
        <w:rFonts w:ascii="Symbol" w:hAnsi="Symbol" w:hint="default"/>
      </w:rPr>
    </w:lvl>
    <w:lvl w:ilvl="4" w:tplc="04070003" w:tentative="1">
      <w:start w:val="1"/>
      <w:numFmt w:val="bullet"/>
      <w:lvlText w:val="o"/>
      <w:lvlJc w:val="left"/>
      <w:pPr>
        <w:tabs>
          <w:tab w:val="num" w:pos="3884"/>
        </w:tabs>
        <w:ind w:left="3884" w:hanging="360"/>
      </w:pPr>
      <w:rPr>
        <w:rFonts w:ascii="Courier New" w:hAnsi="Courier New" w:hint="default"/>
      </w:rPr>
    </w:lvl>
    <w:lvl w:ilvl="5" w:tplc="04070005" w:tentative="1">
      <w:start w:val="1"/>
      <w:numFmt w:val="bullet"/>
      <w:lvlText w:val=""/>
      <w:lvlJc w:val="left"/>
      <w:pPr>
        <w:tabs>
          <w:tab w:val="num" w:pos="4604"/>
        </w:tabs>
        <w:ind w:left="4604" w:hanging="360"/>
      </w:pPr>
      <w:rPr>
        <w:rFonts w:ascii="Wingdings" w:hAnsi="Wingdings" w:hint="default"/>
      </w:rPr>
    </w:lvl>
    <w:lvl w:ilvl="6" w:tplc="04070001" w:tentative="1">
      <w:start w:val="1"/>
      <w:numFmt w:val="bullet"/>
      <w:lvlText w:val=""/>
      <w:lvlJc w:val="left"/>
      <w:pPr>
        <w:tabs>
          <w:tab w:val="num" w:pos="5324"/>
        </w:tabs>
        <w:ind w:left="5324" w:hanging="360"/>
      </w:pPr>
      <w:rPr>
        <w:rFonts w:ascii="Symbol" w:hAnsi="Symbol" w:hint="default"/>
      </w:rPr>
    </w:lvl>
    <w:lvl w:ilvl="7" w:tplc="04070003" w:tentative="1">
      <w:start w:val="1"/>
      <w:numFmt w:val="bullet"/>
      <w:lvlText w:val="o"/>
      <w:lvlJc w:val="left"/>
      <w:pPr>
        <w:tabs>
          <w:tab w:val="num" w:pos="6044"/>
        </w:tabs>
        <w:ind w:left="6044" w:hanging="360"/>
      </w:pPr>
      <w:rPr>
        <w:rFonts w:ascii="Courier New" w:hAnsi="Courier New" w:hint="default"/>
      </w:rPr>
    </w:lvl>
    <w:lvl w:ilvl="8" w:tplc="04070005" w:tentative="1">
      <w:start w:val="1"/>
      <w:numFmt w:val="bullet"/>
      <w:lvlText w:val=""/>
      <w:lvlJc w:val="left"/>
      <w:pPr>
        <w:tabs>
          <w:tab w:val="num" w:pos="6764"/>
        </w:tabs>
        <w:ind w:left="6764" w:hanging="360"/>
      </w:pPr>
      <w:rPr>
        <w:rFonts w:ascii="Wingdings" w:hAnsi="Wingdings" w:hint="default"/>
      </w:rPr>
    </w:lvl>
  </w:abstractNum>
  <w:abstractNum w:abstractNumId="3" w15:restartNumberingAfterBreak="0">
    <w:nsid w:val="3EF631CB"/>
    <w:multiLevelType w:val="hybridMultilevel"/>
    <w:tmpl w:val="BFC6841C"/>
    <w:lvl w:ilvl="0" w:tplc="69821388">
      <w:start w:val="1"/>
      <w:numFmt w:val="decimal"/>
      <w:lvlText w:val="%1."/>
      <w:lvlJc w:val="left"/>
      <w:pPr>
        <w:ind w:left="1065" w:hanging="705"/>
      </w:pPr>
      <w:rPr>
        <w:rFonts w:hint="default"/>
        <w:color w:val="000000" w:themeColor="text1"/>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4D6C7D32"/>
    <w:multiLevelType w:val="multilevel"/>
    <w:tmpl w:val="FB161C38"/>
    <w:lvl w:ilvl="0">
      <w:start w:val="1"/>
      <w:numFmt w:val="decimal"/>
      <w:pStyle w:val="Nadpis1"/>
      <w:lvlText w:val="%1."/>
      <w:lvlJc w:val="left"/>
      <w:pPr>
        <w:tabs>
          <w:tab w:val="num" w:pos="851"/>
        </w:tabs>
        <w:ind w:left="851" w:hanging="851"/>
      </w:pPr>
      <w:rPr>
        <w:rFonts w:hint="default"/>
      </w:rPr>
    </w:lvl>
    <w:lvl w:ilvl="1">
      <w:start w:val="1"/>
      <w:numFmt w:val="decimal"/>
      <w:pStyle w:val="Nadpis2"/>
      <w:lvlText w:val="%1.%2"/>
      <w:lvlJc w:val="left"/>
      <w:pPr>
        <w:tabs>
          <w:tab w:val="num" w:pos="851"/>
        </w:tabs>
        <w:ind w:left="851" w:hanging="851"/>
      </w:pPr>
      <w:rPr>
        <w:rFonts w:ascii="Arial Fett" w:hAnsi="Arial Fett" w:hint="default"/>
        <w:b/>
        <w:i w:val="0"/>
        <w:sz w:val="22"/>
      </w:rPr>
    </w:lvl>
    <w:lvl w:ilvl="2">
      <w:start w:val="1"/>
      <w:numFmt w:val="decimal"/>
      <w:pStyle w:val="Nadpis3"/>
      <w:lvlText w:val="%1.%2.%3"/>
      <w:lvlJc w:val="left"/>
      <w:pPr>
        <w:tabs>
          <w:tab w:val="num" w:pos="851"/>
        </w:tabs>
        <w:ind w:left="851" w:hanging="851"/>
      </w:pPr>
      <w:rPr>
        <w:rFonts w:hint="default"/>
      </w:rPr>
    </w:lvl>
    <w:lvl w:ilvl="3">
      <w:start w:val="1"/>
      <w:numFmt w:val="decimal"/>
      <w:pStyle w:val="Nadpis4"/>
      <w:lvlText w:val="%1.%2.%3.%4."/>
      <w:lvlJc w:val="left"/>
      <w:pPr>
        <w:tabs>
          <w:tab w:val="num" w:pos="851"/>
        </w:tabs>
        <w:ind w:left="851" w:hanging="851"/>
      </w:pPr>
      <w:rPr>
        <w:rFonts w:ascii="Arial" w:hAnsi="Arial" w:hint="default"/>
        <w:b w:val="0"/>
        <w:i w:val="0"/>
        <w:sz w:val="22"/>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5" w15:restartNumberingAfterBreak="0">
    <w:nsid w:val="4E3F144F"/>
    <w:multiLevelType w:val="hybridMultilevel"/>
    <w:tmpl w:val="A3487296"/>
    <w:lvl w:ilvl="0" w:tplc="614C0B90">
      <w:start w:val="1"/>
      <w:numFmt w:val="decimal"/>
      <w:lvlText w:val="%1."/>
      <w:lvlJc w:val="left"/>
      <w:pPr>
        <w:tabs>
          <w:tab w:val="num" w:pos="567"/>
        </w:tabs>
        <w:ind w:left="567" w:hanging="56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6" w15:restartNumberingAfterBreak="0">
    <w:nsid w:val="4FB524F5"/>
    <w:multiLevelType w:val="hybridMultilevel"/>
    <w:tmpl w:val="55D664F8"/>
    <w:lvl w:ilvl="0" w:tplc="614C0B90">
      <w:start w:val="1"/>
      <w:numFmt w:val="decimal"/>
      <w:lvlText w:val="%1."/>
      <w:lvlJc w:val="left"/>
      <w:pPr>
        <w:tabs>
          <w:tab w:val="num" w:pos="567"/>
        </w:tabs>
        <w:ind w:left="567" w:hanging="567"/>
      </w:pPr>
      <w:rPr>
        <w:rFonts w:hint="default"/>
      </w:rPr>
    </w:lvl>
    <w:lvl w:ilvl="1" w:tplc="8D0C8D00">
      <w:start w:val="1"/>
      <w:numFmt w:val="bullet"/>
      <w:lvlText w:val="–"/>
      <w:lvlJc w:val="left"/>
      <w:pPr>
        <w:tabs>
          <w:tab w:val="num" w:pos="1477"/>
        </w:tabs>
        <w:ind w:left="1477" w:hanging="397"/>
      </w:pPr>
      <w:rPr>
        <w:rFonts w:hint="default"/>
        <w:sz w:val="16"/>
      </w:r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 w15:restartNumberingAfterBreak="0">
    <w:nsid w:val="52EA1A72"/>
    <w:multiLevelType w:val="hybridMultilevel"/>
    <w:tmpl w:val="5A10A386"/>
    <w:lvl w:ilvl="0" w:tplc="781E7BC8">
      <w:start w:val="1"/>
      <w:numFmt w:val="decimal"/>
      <w:pStyle w:val="Anlagennummern"/>
      <w:lvlText w:val="Příloha %1:"/>
      <w:lvlJc w:val="left"/>
      <w:pPr>
        <w:tabs>
          <w:tab w:val="num" w:pos="1134"/>
        </w:tabs>
        <w:ind w:left="1134" w:hanging="1134"/>
      </w:pPr>
      <w:rPr>
        <w:rFonts w:ascii="Arial Fett" w:hAnsi="Arial Fett" w:hint="default"/>
        <w:b/>
        <w:i w:val="0"/>
        <w:sz w:val="22"/>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8" w15:restartNumberingAfterBreak="0">
    <w:nsid w:val="5C795E71"/>
    <w:multiLevelType w:val="hybridMultilevel"/>
    <w:tmpl w:val="A2AE6E4C"/>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9" w15:restartNumberingAfterBreak="0">
    <w:nsid w:val="6B155CC5"/>
    <w:multiLevelType w:val="hybridMultilevel"/>
    <w:tmpl w:val="55D664F8"/>
    <w:lvl w:ilvl="0" w:tplc="614C0B90">
      <w:start w:val="1"/>
      <w:numFmt w:val="decimal"/>
      <w:lvlText w:val="%1."/>
      <w:lvlJc w:val="left"/>
      <w:pPr>
        <w:tabs>
          <w:tab w:val="num" w:pos="567"/>
        </w:tabs>
        <w:ind w:left="567" w:hanging="567"/>
      </w:pPr>
      <w:rPr>
        <w:rFonts w:hint="default"/>
      </w:rPr>
    </w:lvl>
    <w:lvl w:ilvl="1" w:tplc="962C7ABC">
      <w:start w:val="1"/>
      <w:numFmt w:val="bullet"/>
      <w:lvlText w:val=""/>
      <w:lvlJc w:val="left"/>
      <w:pPr>
        <w:tabs>
          <w:tab w:val="num" w:pos="1440"/>
        </w:tabs>
        <w:ind w:left="1364" w:hanging="284"/>
      </w:pPr>
      <w:rPr>
        <w:rFonts w:ascii="Wingdings 2" w:hAnsi="Wingdings 2" w:hint="default"/>
        <w:color w:val="333399"/>
        <w:sz w:val="16"/>
        <w:u w:color="333399"/>
      </w:r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0" w15:restartNumberingAfterBreak="0">
    <w:nsid w:val="6DC15332"/>
    <w:multiLevelType w:val="hybridMultilevel"/>
    <w:tmpl w:val="BA2A81F8"/>
    <w:lvl w:ilvl="0" w:tplc="614C0B90">
      <w:start w:val="1"/>
      <w:numFmt w:val="decimal"/>
      <w:lvlText w:val="%1."/>
      <w:lvlJc w:val="left"/>
      <w:pPr>
        <w:tabs>
          <w:tab w:val="num" w:pos="567"/>
        </w:tabs>
        <w:ind w:left="567" w:hanging="567"/>
      </w:pPr>
      <w:rPr>
        <w:rFonts w:hint="default"/>
      </w:rPr>
    </w:lvl>
    <w:lvl w:ilvl="1" w:tplc="8FA078E6">
      <w:start w:val="1"/>
      <w:numFmt w:val="bullet"/>
      <w:pStyle w:val="Anstrich"/>
      <w:lvlText w:val="–"/>
      <w:lvlJc w:val="left"/>
      <w:pPr>
        <w:tabs>
          <w:tab w:val="num" w:pos="1477"/>
        </w:tabs>
        <w:ind w:left="1477" w:hanging="397"/>
      </w:pPr>
      <w:rPr>
        <w:rFonts w:hint="default"/>
        <w:sz w:val="16"/>
      </w:r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1" w15:restartNumberingAfterBreak="0">
    <w:nsid w:val="74B16AA4"/>
    <w:multiLevelType w:val="hybridMultilevel"/>
    <w:tmpl w:val="0A885916"/>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78CA29C8"/>
    <w:multiLevelType w:val="hybridMultilevel"/>
    <w:tmpl w:val="365CEF16"/>
    <w:lvl w:ilvl="0" w:tplc="1160E342">
      <w:start w:val="1"/>
      <w:numFmt w:val="decimal"/>
      <w:lvlText w:val="%1."/>
      <w:lvlJc w:val="left"/>
      <w:pPr>
        <w:tabs>
          <w:tab w:val="num" w:pos="567"/>
        </w:tabs>
        <w:ind w:left="567" w:hanging="56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num w:numId="1">
    <w:abstractNumId w:val="5"/>
  </w:num>
  <w:num w:numId="2">
    <w:abstractNumId w:val="9"/>
  </w:num>
  <w:num w:numId="3">
    <w:abstractNumId w:val="12"/>
  </w:num>
  <w:num w:numId="4">
    <w:abstractNumId w:val="6"/>
  </w:num>
  <w:num w:numId="5">
    <w:abstractNumId w:val="0"/>
  </w:num>
  <w:num w:numId="6">
    <w:abstractNumId w:val="10"/>
  </w:num>
  <w:num w:numId="7">
    <w:abstractNumId w:val="8"/>
  </w:num>
  <w:num w:numId="8">
    <w:abstractNumId w:val="4"/>
  </w:num>
  <w:num w:numId="9">
    <w:abstractNumId w:val="2"/>
  </w:num>
  <w:num w:numId="10">
    <w:abstractNumId w:val="7"/>
  </w:num>
  <w:num w:numId="11">
    <w:abstractNumId w:val="1"/>
  </w:num>
  <w:num w:numId="12">
    <w:abstractNumId w:val="4"/>
  </w:num>
  <w:num w:numId="13">
    <w:abstractNumId w:val="4"/>
  </w:num>
  <w:num w:numId="14">
    <w:abstractNumId w:val="4"/>
  </w:num>
  <w:num w:numId="15">
    <w:abstractNumId w:val="4"/>
  </w:num>
  <w:num w:numId="16">
    <w:abstractNumId w:val="4"/>
  </w:num>
  <w:num w:numId="17">
    <w:abstractNumId w:val="4"/>
  </w:num>
  <w:num w:numId="18">
    <w:abstractNumId w:val="4"/>
  </w:num>
  <w:num w:numId="19">
    <w:abstractNumId w:val="4"/>
  </w:num>
  <w:num w:numId="20">
    <w:abstractNumId w:val="4"/>
  </w:num>
  <w:num w:numId="21">
    <w:abstractNumId w:val="4"/>
  </w:num>
  <w:num w:numId="22">
    <w:abstractNumId w:val="3"/>
  </w:num>
  <w:num w:numId="2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proofState w:spelling="clean" w:grammar="clean"/>
  <w:attachedTemplate r:id="rId1"/>
  <w:defaultTabStop w:val="709"/>
  <w:autoHyphenation/>
  <w:hyphenationZone w:val="142"/>
  <w:doNotHyphenateCaps/>
  <w:noPunctuationKerning/>
  <w:characterSpacingControl w:val="doNotCompress"/>
  <w:footnotePr>
    <w:footnote w:id="-1"/>
    <w:footnote w:id="0"/>
  </w:footnotePr>
  <w:endnotePr>
    <w:endnote w:id="-1"/>
    <w:endnote w:id="0"/>
  </w:endnotePr>
  <w:compat>
    <w:spaceForUL/>
    <w:balanceSingleByteDoubleByteWidth/>
    <w:doNotLeaveBackslashAlone/>
    <w:ulTrailSpac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0D56"/>
    <w:rsid w:val="00020583"/>
    <w:rsid w:val="00064745"/>
    <w:rsid w:val="00076AB0"/>
    <w:rsid w:val="000A162D"/>
    <w:rsid w:val="000F741D"/>
    <w:rsid w:val="00144AFA"/>
    <w:rsid w:val="00170B66"/>
    <w:rsid w:val="001870D1"/>
    <w:rsid w:val="001979D3"/>
    <w:rsid w:val="001B4907"/>
    <w:rsid w:val="001F3BC6"/>
    <w:rsid w:val="00202016"/>
    <w:rsid w:val="00235193"/>
    <w:rsid w:val="00267EC5"/>
    <w:rsid w:val="002A1146"/>
    <w:rsid w:val="002D6A7E"/>
    <w:rsid w:val="002E2650"/>
    <w:rsid w:val="00332B5C"/>
    <w:rsid w:val="003A12F6"/>
    <w:rsid w:val="003B57E7"/>
    <w:rsid w:val="003F3F4A"/>
    <w:rsid w:val="004213E1"/>
    <w:rsid w:val="00426669"/>
    <w:rsid w:val="00466901"/>
    <w:rsid w:val="00482462"/>
    <w:rsid w:val="00482DF3"/>
    <w:rsid w:val="004B2B58"/>
    <w:rsid w:val="004B5F01"/>
    <w:rsid w:val="004F2517"/>
    <w:rsid w:val="00513D10"/>
    <w:rsid w:val="00514600"/>
    <w:rsid w:val="005B253F"/>
    <w:rsid w:val="005E5930"/>
    <w:rsid w:val="006310D8"/>
    <w:rsid w:val="0063253F"/>
    <w:rsid w:val="00670723"/>
    <w:rsid w:val="00733615"/>
    <w:rsid w:val="00741887"/>
    <w:rsid w:val="00747D26"/>
    <w:rsid w:val="008422FF"/>
    <w:rsid w:val="008A6637"/>
    <w:rsid w:val="008B27A4"/>
    <w:rsid w:val="008B5390"/>
    <w:rsid w:val="008D0AE0"/>
    <w:rsid w:val="008D43CC"/>
    <w:rsid w:val="008D4678"/>
    <w:rsid w:val="00935230"/>
    <w:rsid w:val="00940441"/>
    <w:rsid w:val="009555F8"/>
    <w:rsid w:val="00970184"/>
    <w:rsid w:val="009A584B"/>
    <w:rsid w:val="009D52AC"/>
    <w:rsid w:val="00A41619"/>
    <w:rsid w:val="00A4383F"/>
    <w:rsid w:val="00A67D6B"/>
    <w:rsid w:val="00A705D3"/>
    <w:rsid w:val="00A73B4C"/>
    <w:rsid w:val="00A95C56"/>
    <w:rsid w:val="00AD189E"/>
    <w:rsid w:val="00AE4B37"/>
    <w:rsid w:val="00AF1716"/>
    <w:rsid w:val="00AF30AB"/>
    <w:rsid w:val="00AF74F8"/>
    <w:rsid w:val="00B21F91"/>
    <w:rsid w:val="00B26671"/>
    <w:rsid w:val="00B3346F"/>
    <w:rsid w:val="00B54262"/>
    <w:rsid w:val="00B55502"/>
    <w:rsid w:val="00BA0E38"/>
    <w:rsid w:val="00BA4BF3"/>
    <w:rsid w:val="00BB79C5"/>
    <w:rsid w:val="00BC75A0"/>
    <w:rsid w:val="00BD221B"/>
    <w:rsid w:val="00BD24EC"/>
    <w:rsid w:val="00BD2C9C"/>
    <w:rsid w:val="00C359A8"/>
    <w:rsid w:val="00C35CCE"/>
    <w:rsid w:val="00C40520"/>
    <w:rsid w:val="00C56441"/>
    <w:rsid w:val="00C6764C"/>
    <w:rsid w:val="00CB720A"/>
    <w:rsid w:val="00CC03D5"/>
    <w:rsid w:val="00CC0D56"/>
    <w:rsid w:val="00CE2CED"/>
    <w:rsid w:val="00D04172"/>
    <w:rsid w:val="00D06E93"/>
    <w:rsid w:val="00D30E2B"/>
    <w:rsid w:val="00DA15DA"/>
    <w:rsid w:val="00DB2C4C"/>
    <w:rsid w:val="00DB66BD"/>
    <w:rsid w:val="00DC7E17"/>
    <w:rsid w:val="00EA108C"/>
    <w:rsid w:val="00EF2C7A"/>
    <w:rsid w:val="00F20F70"/>
    <w:rsid w:val="00F3761E"/>
    <w:rsid w:val="00F46C77"/>
    <w:rsid w:val="00F9578C"/>
    <w:rsid w:val="00FA0A8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12B409D"/>
  <w15:chartTrackingRefBased/>
  <w15:docId w15:val="{6DDB2941-2326-4453-AA7A-651F8F9EA9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pPr>
      <w:jc w:val="both"/>
    </w:pPr>
    <w:rPr>
      <w:rFonts w:ascii="Arial" w:hAnsi="Arial"/>
      <w:sz w:val="22"/>
      <w:szCs w:val="24"/>
      <w:lang w:val="cs-CZ"/>
    </w:rPr>
  </w:style>
  <w:style w:type="paragraph" w:styleId="Nadpis1">
    <w:name w:val="heading 1"/>
    <w:basedOn w:val="Normln"/>
    <w:next w:val="Normln"/>
    <w:autoRedefine/>
    <w:qFormat/>
    <w:pPr>
      <w:keepNext/>
      <w:numPr>
        <w:numId w:val="21"/>
      </w:numPr>
      <w:pBdr>
        <w:bottom w:val="single" w:sz="12" w:space="1" w:color="auto"/>
      </w:pBdr>
      <w:spacing w:before="600" w:after="100"/>
      <w:outlineLvl w:val="0"/>
    </w:pPr>
    <w:rPr>
      <w:rFonts w:ascii="Arial Fett" w:hAnsi="Arial Fett" w:cs="Arial"/>
      <w:b/>
      <w:bCs/>
      <w:kern w:val="32"/>
      <w:szCs w:val="32"/>
    </w:rPr>
  </w:style>
  <w:style w:type="paragraph" w:styleId="Nadpis2">
    <w:name w:val="heading 2"/>
    <w:basedOn w:val="Nadpis1"/>
    <w:next w:val="Normln"/>
    <w:qFormat/>
    <w:pPr>
      <w:numPr>
        <w:ilvl w:val="1"/>
      </w:numPr>
      <w:pBdr>
        <w:bottom w:val="none" w:sz="0" w:space="0" w:color="auto"/>
      </w:pBdr>
      <w:spacing w:before="200"/>
      <w:outlineLvl w:val="1"/>
    </w:pPr>
    <w:rPr>
      <w:bCs w:val="0"/>
      <w:iCs/>
      <w:szCs w:val="28"/>
    </w:rPr>
  </w:style>
  <w:style w:type="paragraph" w:styleId="Nadpis3">
    <w:name w:val="heading 3"/>
    <w:basedOn w:val="Nadpis2"/>
    <w:next w:val="Normln"/>
    <w:autoRedefine/>
    <w:qFormat/>
    <w:pPr>
      <w:numPr>
        <w:ilvl w:val="2"/>
      </w:numPr>
      <w:spacing w:after="160"/>
      <w:outlineLvl w:val="2"/>
    </w:pPr>
    <w:rPr>
      <w:bCs/>
      <w:noProof/>
      <w:szCs w:val="26"/>
      <w:lang w:val="de-DE"/>
    </w:rPr>
  </w:style>
  <w:style w:type="paragraph" w:styleId="Nadpis4">
    <w:name w:val="heading 4"/>
    <w:basedOn w:val="Nadpis3"/>
    <w:next w:val="Normln"/>
    <w:qFormat/>
    <w:pPr>
      <w:numPr>
        <w:ilvl w:val="3"/>
      </w:numPr>
      <w:spacing w:before="240" w:after="60"/>
      <w:outlineLvl w:val="3"/>
    </w:pPr>
    <w:rPr>
      <w:rFonts w:ascii="Arial" w:hAnsi="Arial"/>
      <w:bCs w:val="0"/>
      <w:szCs w:val="28"/>
    </w:rPr>
  </w:style>
  <w:style w:type="paragraph" w:styleId="Nadpis5">
    <w:name w:val="heading 5"/>
    <w:basedOn w:val="Normln"/>
    <w:next w:val="Normln"/>
    <w:qFormat/>
    <w:pPr>
      <w:spacing w:before="240" w:after="60"/>
      <w:outlineLvl w:val="4"/>
    </w:pPr>
    <w:rPr>
      <w:b/>
      <w:bCs/>
      <w:i/>
      <w:iCs/>
      <w:sz w:val="26"/>
      <w:szCs w:val="26"/>
    </w:rPr>
  </w:style>
  <w:style w:type="paragraph" w:styleId="Nadpis6">
    <w:name w:val="heading 6"/>
    <w:basedOn w:val="Normln"/>
    <w:next w:val="Normln"/>
    <w:autoRedefine/>
    <w:qFormat/>
    <w:pPr>
      <w:spacing w:before="120" w:after="160"/>
      <w:outlineLvl w:val="5"/>
    </w:pPr>
    <w:rPr>
      <w:rFonts w:ascii="Arial Fett" w:hAnsi="Arial Fett"/>
      <w:b/>
      <w:bCs/>
      <w:szCs w:val="22"/>
    </w:rPr>
  </w:style>
  <w:style w:type="paragraph" w:styleId="Nadpis7">
    <w:name w:val="heading 7"/>
    <w:basedOn w:val="Normln"/>
    <w:next w:val="Normln"/>
    <w:qFormat/>
    <w:pPr>
      <w:spacing w:before="240" w:after="60"/>
      <w:outlineLvl w:val="6"/>
    </w:pPr>
    <w:rPr>
      <w:rFonts w:ascii="Times New Roman" w:hAnsi="Times New Roman"/>
      <w:sz w:val="24"/>
    </w:rPr>
  </w:style>
  <w:style w:type="paragraph" w:styleId="Nadpis8">
    <w:name w:val="heading 8"/>
    <w:basedOn w:val="Normln"/>
    <w:next w:val="Normln"/>
    <w:qFormat/>
    <w:pPr>
      <w:spacing w:before="240" w:after="60"/>
      <w:outlineLvl w:val="7"/>
    </w:pPr>
    <w:rPr>
      <w:rFonts w:ascii="Times New Roman" w:hAnsi="Times New Roman"/>
      <w:i/>
      <w:iCs/>
      <w:sz w:val="24"/>
    </w:rPr>
  </w:style>
  <w:style w:type="paragraph" w:styleId="Nadpis9">
    <w:name w:val="heading 9"/>
    <w:basedOn w:val="Normln"/>
    <w:next w:val="Normln"/>
    <w:qFormat/>
    <w:pPr>
      <w:spacing w:before="240" w:after="60"/>
      <w:outlineLvl w:val="8"/>
    </w:pPr>
    <w:rPr>
      <w:rFonts w:cs="Arial"/>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semiHidden/>
    <w:pPr>
      <w:tabs>
        <w:tab w:val="right" w:pos="9356"/>
      </w:tabs>
      <w:ind w:left="284"/>
    </w:pPr>
    <w:rPr>
      <w:sz w:val="20"/>
    </w:rPr>
  </w:style>
  <w:style w:type="paragraph" w:customStyle="1" w:styleId="Anstrich">
    <w:name w:val="Anstrich"/>
    <w:basedOn w:val="Normln"/>
    <w:pPr>
      <w:numPr>
        <w:ilvl w:val="1"/>
        <w:numId w:val="6"/>
      </w:numPr>
      <w:tabs>
        <w:tab w:val="clear" w:pos="1477"/>
      </w:tabs>
      <w:spacing w:before="120"/>
      <w:ind w:left="284" w:hanging="284"/>
    </w:pPr>
    <w:rPr>
      <w:rFonts w:cs="Arial"/>
    </w:rPr>
  </w:style>
  <w:style w:type="paragraph" w:customStyle="1" w:styleId="Kstchen">
    <w:name w:val="Kästchen"/>
    <w:basedOn w:val="Normln"/>
    <w:pPr>
      <w:numPr>
        <w:numId w:val="9"/>
      </w:numPr>
      <w:tabs>
        <w:tab w:val="left" w:pos="567"/>
      </w:tabs>
      <w:spacing w:before="100"/>
    </w:pPr>
    <w:rPr>
      <w:rFonts w:cs="Arial"/>
    </w:rPr>
  </w:style>
  <w:style w:type="paragraph" w:customStyle="1" w:styleId="berschrift">
    <w:name w:val="Überschrift"/>
    <w:basedOn w:val="Normln"/>
    <w:pPr>
      <w:pBdr>
        <w:bottom w:val="single" w:sz="12" w:space="1" w:color="auto"/>
      </w:pBdr>
      <w:spacing w:before="600"/>
      <w:jc w:val="center"/>
    </w:pPr>
    <w:rPr>
      <w:rFonts w:cs="Arial"/>
      <w:b/>
      <w:bCs/>
    </w:rPr>
  </w:style>
  <w:style w:type="paragraph" w:customStyle="1" w:styleId="Anlage">
    <w:name w:val="Anlage"/>
    <w:basedOn w:val="Normln"/>
    <w:pPr>
      <w:spacing w:before="100"/>
    </w:pPr>
  </w:style>
  <w:style w:type="paragraph" w:customStyle="1" w:styleId="Kopfzeile2">
    <w:name w:val="Kopfzeile2"/>
    <w:basedOn w:val="Zhlav"/>
    <w:pPr>
      <w:pBdr>
        <w:bottom w:val="single" w:sz="6" w:space="1" w:color="auto"/>
      </w:pBdr>
      <w:tabs>
        <w:tab w:val="clear" w:pos="9356"/>
        <w:tab w:val="right" w:pos="9360"/>
      </w:tabs>
      <w:spacing w:after="100"/>
      <w:ind w:left="0"/>
    </w:pPr>
    <w:rPr>
      <w:sz w:val="14"/>
    </w:rPr>
  </w:style>
  <w:style w:type="paragraph" w:styleId="Zpat">
    <w:name w:val="footer"/>
    <w:basedOn w:val="Normln"/>
    <w:semiHidden/>
    <w:pPr>
      <w:tabs>
        <w:tab w:val="center" w:pos="4536"/>
        <w:tab w:val="right" w:pos="9072"/>
      </w:tabs>
    </w:pPr>
  </w:style>
  <w:style w:type="paragraph" w:customStyle="1" w:styleId="Anlagen">
    <w:name w:val="Anlagen"/>
    <w:basedOn w:val="Normln"/>
    <w:pPr>
      <w:spacing w:before="200"/>
    </w:pPr>
    <w:rPr>
      <w:rFonts w:ascii="Arial Fett" w:hAnsi="Arial Fett"/>
      <w:b/>
      <w:u w:val="single"/>
    </w:rPr>
  </w:style>
  <w:style w:type="paragraph" w:customStyle="1" w:styleId="Anlagennummern">
    <w:name w:val="Anlagennummern"/>
    <w:basedOn w:val="Anlage"/>
    <w:pPr>
      <w:numPr>
        <w:numId w:val="10"/>
      </w:numPr>
    </w:pPr>
  </w:style>
  <w:style w:type="paragraph" w:customStyle="1" w:styleId="Formatvorlage1">
    <w:name w:val="Formatvorlage1"/>
    <w:basedOn w:val="Normln"/>
    <w:pPr>
      <w:ind w:left="992" w:hanging="992"/>
    </w:pPr>
    <w:rPr>
      <w:rFonts w:ascii="Arial Fett" w:hAnsi="Arial Fett"/>
      <w:b/>
      <w:sz w:val="20"/>
    </w:rPr>
  </w:style>
  <w:style w:type="paragraph" w:customStyle="1" w:styleId="Tab-obr">
    <w:name w:val="Tab-obr"/>
    <w:basedOn w:val="Normln"/>
    <w:pPr>
      <w:ind w:left="992" w:hanging="992"/>
      <w:jc w:val="left"/>
    </w:pPr>
    <w:rPr>
      <w:rFonts w:ascii="Arial Fett" w:hAnsi="Arial Fett"/>
      <w:b/>
      <w:noProof/>
      <w:color w:val="000000"/>
      <w:sz w:val="20"/>
    </w:rPr>
  </w:style>
  <w:style w:type="paragraph" w:customStyle="1" w:styleId="AnstrichinNummerierung">
    <w:name w:val="Anstrich in Nummerierung"/>
    <w:basedOn w:val="Anstrich"/>
    <w:pPr>
      <w:spacing w:before="100"/>
      <w:ind w:left="1135"/>
    </w:pPr>
  </w:style>
  <w:style w:type="paragraph" w:customStyle="1" w:styleId="KstcheninNummerierung">
    <w:name w:val="Kästchen in Nummerierung"/>
    <w:basedOn w:val="Kstchen"/>
    <w:pPr>
      <w:ind w:left="1418" w:hanging="284"/>
    </w:pPr>
  </w:style>
  <w:style w:type="paragraph" w:styleId="Obsah1">
    <w:name w:val="toc 1"/>
    <w:basedOn w:val="Normln"/>
    <w:next w:val="Normln"/>
    <w:autoRedefine/>
    <w:semiHidden/>
    <w:pPr>
      <w:tabs>
        <w:tab w:val="left" w:pos="851"/>
        <w:tab w:val="right" w:leader="dot" w:pos="9356"/>
      </w:tabs>
      <w:spacing w:before="120"/>
      <w:ind w:left="851" w:hanging="851"/>
    </w:pPr>
    <w:rPr>
      <w:rFonts w:ascii="Arial Fett" w:hAnsi="Arial Fett"/>
      <w:b/>
      <w:noProof/>
      <w:szCs w:val="22"/>
    </w:rPr>
  </w:style>
  <w:style w:type="paragraph" w:styleId="Obsah2">
    <w:name w:val="toc 2"/>
    <w:basedOn w:val="Normln"/>
    <w:next w:val="Normln"/>
    <w:autoRedefine/>
    <w:semiHidden/>
    <w:pPr>
      <w:tabs>
        <w:tab w:val="left" w:pos="851"/>
        <w:tab w:val="right" w:leader="dot" w:pos="9356"/>
      </w:tabs>
      <w:spacing w:before="120"/>
      <w:ind w:left="851" w:hanging="851"/>
    </w:pPr>
    <w:rPr>
      <w:noProof/>
    </w:rPr>
  </w:style>
  <w:style w:type="paragraph" w:styleId="Obsah3">
    <w:name w:val="toc 3"/>
    <w:basedOn w:val="Normln"/>
    <w:next w:val="Normln"/>
    <w:autoRedefine/>
    <w:semiHidden/>
    <w:pPr>
      <w:tabs>
        <w:tab w:val="left" w:pos="851"/>
        <w:tab w:val="right" w:leader="dot" w:pos="9356"/>
      </w:tabs>
      <w:spacing w:before="60"/>
      <w:ind w:left="851" w:hanging="851"/>
    </w:pPr>
    <w:rPr>
      <w:noProof/>
      <w:szCs w:val="22"/>
    </w:rPr>
  </w:style>
  <w:style w:type="character" w:styleId="Hypertextovodkaz">
    <w:name w:val="Hyperlink"/>
    <w:basedOn w:val="Standardnpsmoodstavce"/>
    <w:uiPriority w:val="99"/>
    <w:rPr>
      <w:rFonts w:ascii="Arial" w:hAnsi="Arial"/>
      <w:color w:val="auto"/>
      <w:sz w:val="22"/>
      <w:u w:val="none"/>
    </w:rPr>
  </w:style>
  <w:style w:type="paragraph" w:styleId="Odstavecseseznamem">
    <w:name w:val="List Paragraph"/>
    <w:basedOn w:val="Normln"/>
    <w:uiPriority w:val="34"/>
    <w:qFormat/>
    <w:rsid w:val="00741887"/>
    <w:pPr>
      <w:ind w:left="720"/>
      <w:contextualSpacing/>
    </w:pPr>
  </w:style>
  <w:style w:type="paragraph" w:styleId="Textpoznpodarou">
    <w:name w:val="footnote text"/>
    <w:basedOn w:val="Normln"/>
    <w:link w:val="TextpoznpodarouChar"/>
    <w:uiPriority w:val="99"/>
    <w:semiHidden/>
    <w:unhideWhenUsed/>
    <w:rsid w:val="008B5390"/>
    <w:rPr>
      <w:sz w:val="20"/>
      <w:szCs w:val="20"/>
    </w:rPr>
  </w:style>
  <w:style w:type="character" w:customStyle="1" w:styleId="TextpoznpodarouChar">
    <w:name w:val="Text pozn. pod čarou Char"/>
    <w:basedOn w:val="Standardnpsmoodstavce"/>
    <w:link w:val="Textpoznpodarou"/>
    <w:uiPriority w:val="99"/>
    <w:semiHidden/>
    <w:rsid w:val="008B5390"/>
    <w:rPr>
      <w:rFonts w:ascii="Arial" w:hAnsi="Arial"/>
      <w:lang w:val="cs-CZ"/>
    </w:rPr>
  </w:style>
  <w:style w:type="character" w:styleId="Znakapoznpodarou">
    <w:name w:val="footnote reference"/>
    <w:basedOn w:val="Standardnpsmoodstavce"/>
    <w:uiPriority w:val="99"/>
    <w:semiHidden/>
    <w:unhideWhenUsed/>
    <w:rsid w:val="008B5390"/>
    <w:rPr>
      <w:vertAlign w:val="superscript"/>
    </w:rPr>
  </w:style>
  <w:style w:type="paragraph" w:styleId="Textbubliny">
    <w:name w:val="Balloon Text"/>
    <w:basedOn w:val="Normln"/>
    <w:link w:val="TextbublinyChar"/>
    <w:uiPriority w:val="99"/>
    <w:semiHidden/>
    <w:unhideWhenUsed/>
    <w:rsid w:val="003A12F6"/>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3A12F6"/>
    <w:rPr>
      <w:rFonts w:ascii="Segoe UI" w:hAnsi="Segoe UI" w:cs="Segoe UI"/>
      <w:sz w:val="18"/>
      <w:szCs w:val="18"/>
      <w:lang w:val="cs-CZ"/>
    </w:rPr>
  </w:style>
  <w:style w:type="table" w:customStyle="1" w:styleId="TableNormal">
    <w:name w:val="Table Normal"/>
    <w:uiPriority w:val="2"/>
    <w:semiHidden/>
    <w:unhideWhenUsed/>
    <w:qFormat/>
    <w:rsid w:val="008D4678"/>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ln"/>
    <w:uiPriority w:val="1"/>
    <w:qFormat/>
    <w:rsid w:val="008D4678"/>
    <w:pPr>
      <w:widowControl w:val="0"/>
      <w:jc w:val="left"/>
    </w:pPr>
    <w:rPr>
      <w:rFonts w:asciiTheme="minorHAnsi" w:eastAsiaTheme="minorHAnsi" w:hAnsiTheme="minorHAnsi" w:cstheme="minorBidi"/>
      <w:szCs w:val="22"/>
      <w:lang w:val="en-US" w:eastAsia="en-US"/>
    </w:rPr>
  </w:style>
  <w:style w:type="table" w:styleId="Mkatabulky">
    <w:name w:val="Table Grid"/>
    <w:basedOn w:val="Normlntabulka"/>
    <w:uiPriority w:val="59"/>
    <w:rsid w:val="00170B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iPriority w:val="1"/>
    <w:qFormat/>
    <w:rsid w:val="004B5F01"/>
    <w:pPr>
      <w:widowControl w:val="0"/>
      <w:ind w:left="116"/>
      <w:jc w:val="left"/>
    </w:pPr>
    <w:rPr>
      <w:rFonts w:eastAsia="Arial" w:cstheme="minorBidi"/>
      <w:szCs w:val="22"/>
      <w:lang w:val="en-US" w:eastAsia="en-US"/>
    </w:rPr>
  </w:style>
  <w:style w:type="character" w:customStyle="1" w:styleId="ZkladntextChar">
    <w:name w:val="Základní text Char"/>
    <w:basedOn w:val="Standardnpsmoodstavce"/>
    <w:link w:val="Zkladntext"/>
    <w:uiPriority w:val="1"/>
    <w:rsid w:val="004B5F01"/>
    <w:rPr>
      <w:rFonts w:ascii="Arial" w:eastAsia="Arial" w:hAnsi="Arial" w:cstheme="minorBidi"/>
      <w:sz w:val="22"/>
      <w:szCs w:val="22"/>
      <w:lang w:val="en-US" w:eastAsia="en-US"/>
    </w:rPr>
  </w:style>
  <w:style w:type="character" w:styleId="Odkaznakoment">
    <w:name w:val="annotation reference"/>
    <w:basedOn w:val="Standardnpsmoodstavce"/>
    <w:uiPriority w:val="99"/>
    <w:semiHidden/>
    <w:unhideWhenUsed/>
    <w:rsid w:val="00AE4B37"/>
    <w:rPr>
      <w:sz w:val="16"/>
      <w:szCs w:val="16"/>
    </w:rPr>
  </w:style>
  <w:style w:type="paragraph" w:styleId="Textkomente">
    <w:name w:val="annotation text"/>
    <w:basedOn w:val="Normln"/>
    <w:link w:val="TextkomenteChar"/>
    <w:uiPriority w:val="99"/>
    <w:semiHidden/>
    <w:unhideWhenUsed/>
    <w:rsid w:val="00AE4B37"/>
    <w:rPr>
      <w:sz w:val="20"/>
      <w:szCs w:val="20"/>
    </w:rPr>
  </w:style>
  <w:style w:type="character" w:customStyle="1" w:styleId="TextkomenteChar">
    <w:name w:val="Text komentáře Char"/>
    <w:basedOn w:val="Standardnpsmoodstavce"/>
    <w:link w:val="Textkomente"/>
    <w:uiPriority w:val="99"/>
    <w:semiHidden/>
    <w:rsid w:val="00AE4B37"/>
    <w:rPr>
      <w:rFonts w:ascii="Arial" w:hAnsi="Arial"/>
      <w:lang w:val="cs-CZ"/>
    </w:rPr>
  </w:style>
  <w:style w:type="paragraph" w:styleId="Pedmtkomente">
    <w:name w:val="annotation subject"/>
    <w:basedOn w:val="Textkomente"/>
    <w:next w:val="Textkomente"/>
    <w:link w:val="PedmtkomenteChar"/>
    <w:uiPriority w:val="99"/>
    <w:semiHidden/>
    <w:unhideWhenUsed/>
    <w:rsid w:val="00AE4B37"/>
    <w:rPr>
      <w:b/>
      <w:bCs/>
    </w:rPr>
  </w:style>
  <w:style w:type="character" w:customStyle="1" w:styleId="PedmtkomenteChar">
    <w:name w:val="Předmět komentáře Char"/>
    <w:basedOn w:val="TextkomenteChar"/>
    <w:link w:val="Pedmtkomente"/>
    <w:uiPriority w:val="99"/>
    <w:semiHidden/>
    <w:rsid w:val="00AE4B37"/>
    <w:rPr>
      <w:rFonts w:ascii="Arial" w:hAnsi="Arial"/>
      <w:b/>
      <w:bCs/>
      <w:lang w:val="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https://circabc.europa.eu/sd/a/b2ba7a2c-6a6c-497a-9568-08b4d01c35e8/16_HxChlBenzene_EQSdatasheet_150105.pdf"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circabc.europa.eu/sd/a/996c9804-30c4-4ea1-b16d-3cbc571b2bac/28_PAH_EQSdatasheet_310705.pdf" TargetMode="Externa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s://circabc.europa.eu/sd/a/0eec5817-697e-43f6-9567-0a115c02ed55/26_PentaClbenzene_EQSdatasheet_310705.pdf"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circabc.europa.eu/sd/a/f1779cdb-0583-43d3-9990-7d779917c494/20_Lead_EQSdatasheet_310705.pdf" TargetMode="External"/><Relationship Id="rId20" Type="http://schemas.openxmlformats.org/officeDocument/2006/relationships/hyperlink" Target="https://circabc.europa.eu/sd/a/b122eb95-4872-4b40-aee1-f3cf74bf71fb/15_Fluoranthene_EQSdatasheet_150105.p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oter" Target="footer4.xml"/><Relationship Id="rId5" Type="http://schemas.openxmlformats.org/officeDocument/2006/relationships/webSettings" Target="webSettings.xml"/><Relationship Id="rId15" Type="http://schemas.openxmlformats.org/officeDocument/2006/relationships/hyperlink" Target="https://circabc.europa.eu/sd/a/42a9cfc4-6f5e-41bf-8db2-d5681be56e01/06_Cadmium_EQSdatasheet_310705.pdf" TargetMode="External"/><Relationship Id="rId23" Type="http://schemas.openxmlformats.org/officeDocument/2006/relationships/header" Target="header4.xml"/><Relationship Id="rId10" Type="http://schemas.openxmlformats.org/officeDocument/2006/relationships/header" Target="header2.xml"/><Relationship Id="rId19" Type="http://schemas.openxmlformats.org/officeDocument/2006/relationships/hyperlink" Target="https://circabc.europa.eu/sd/a/9d914477-01d1-47b8-afd3-1fa1fe5809ef/02_Anthracene_EQSdatasheet_310705.pdf"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circabc.europa.eu/sd/a/ff8e163c-71f6-4fc0-98ef-875a20add4c8/21_Mercury_EQSdatasheet_150105.pdf" TargetMode="External"/><Relationship Id="rId22" Type="http://schemas.openxmlformats.org/officeDocument/2006/relationships/hyperlink" Target="https://circabc.europa.eu/sd/d/899759c1-af89-4de4-81bf-488c949887c8/30_Tributyltin_EQSdatasheet_150105.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K:\Vorlagen\IKSE-Word\Pavel%20Anlage_Vorlage_cz.dot"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078608-21A4-4C7A-AB21-45D959B845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Pavel Anlage_Vorlage_cz.dot</Template>
  <TotalTime>0</TotalTime>
  <Pages>8</Pages>
  <Words>3158</Words>
  <Characters>18134</Characters>
  <Application>Microsoft Office Word</Application>
  <DocSecurity>0</DocSecurity>
  <Lines>151</Lines>
  <Paragraphs>42</Paragraphs>
  <ScaleCrop>false</ScaleCrop>
  <HeadingPairs>
    <vt:vector size="4" baseType="variant">
      <vt:variant>
        <vt:lpstr>Název</vt:lpstr>
      </vt:variant>
      <vt:variant>
        <vt:i4>1</vt:i4>
      </vt:variant>
      <vt:variant>
        <vt:lpstr>Titel</vt:lpstr>
      </vt:variant>
      <vt:variant>
        <vt:i4>1</vt:i4>
      </vt:variant>
    </vt:vector>
  </HeadingPairs>
  <TitlesOfParts>
    <vt:vector size="2" baseType="lpstr">
      <vt:lpstr>Bericht</vt:lpstr>
      <vt:lpstr>Bericht</vt:lpstr>
    </vt:vector>
  </TitlesOfParts>
  <Company>IKSE</Company>
  <LinksUpToDate>false</LinksUpToDate>
  <CharactersWithSpaces>21250</CharactersWithSpaces>
  <SharedDoc>false</SharedDoc>
  <HLinks>
    <vt:vector size="12" baseType="variant">
      <vt:variant>
        <vt:i4>7209087</vt:i4>
      </vt:variant>
      <vt:variant>
        <vt:i4>1412</vt:i4>
      </vt:variant>
      <vt:variant>
        <vt:i4>1025</vt:i4>
      </vt:variant>
      <vt:variant>
        <vt:i4>1</vt:i4>
      </vt:variant>
      <vt:variant>
        <vt:lpwstr>..\..\IKSE-Sekretariat\Logo IKSE\IKSE-MKOL-Logo-4F-Vorlage 600DPI-8mm.jpg</vt:lpwstr>
      </vt:variant>
      <vt:variant>
        <vt:lpwstr/>
      </vt:variant>
      <vt:variant>
        <vt:i4>3211319</vt:i4>
      </vt:variant>
      <vt:variant>
        <vt:i4>1605</vt:i4>
      </vt:variant>
      <vt:variant>
        <vt:i4>1026</vt:i4>
      </vt:variant>
      <vt:variant>
        <vt:i4>1</vt:i4>
      </vt:variant>
      <vt:variant>
        <vt:lpwstr>..\..\..\..\..\WORK\INFO\IKSE Logo\IKSE-MKOL-Logo-4F.jpg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Bericht</dc:title>
  <dc:subject/>
  <dc:creator>Knotek, Pavel</dc:creator>
  <cp:keywords/>
  <dc:description/>
  <cp:lastModifiedBy>Knotek, Pavel</cp:lastModifiedBy>
  <cp:revision>65</cp:revision>
  <cp:lastPrinted>2018-09-19T14:58:00Z</cp:lastPrinted>
  <dcterms:created xsi:type="dcterms:W3CDTF">2018-05-02T14:17:00Z</dcterms:created>
  <dcterms:modified xsi:type="dcterms:W3CDTF">2018-11-26T16:51:00Z</dcterms:modified>
</cp:coreProperties>
</file>